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0F84" w14:textId="2BA3BE58" w:rsidR="005D24CB" w:rsidRPr="000B6313" w:rsidRDefault="000B27B8">
      <w:pPr>
        <w:pStyle w:val="Heading1"/>
        <w:rPr>
          <w:sz w:val="24"/>
          <w:szCs w:val="24"/>
        </w:rPr>
      </w:pPr>
      <w:bookmarkStart w:id="0" w:name="_Toc98777043"/>
      <w:r w:rsidRPr="000B6313">
        <w:rPr>
          <w:sz w:val="24"/>
          <w:szCs w:val="24"/>
        </w:rPr>
        <w:t xml:space="preserve">Annex C: </w:t>
      </w:r>
      <w:r w:rsidR="0B39043C" w:rsidRPr="000B6313">
        <w:rPr>
          <w:sz w:val="24"/>
          <w:szCs w:val="24"/>
        </w:rPr>
        <w:t>Buckinghamshire M</w:t>
      </w:r>
      <w:r w:rsidRPr="000B6313">
        <w:rPr>
          <w:sz w:val="24"/>
          <w:szCs w:val="24"/>
        </w:rPr>
        <w:t xml:space="preserve">arket </w:t>
      </w:r>
      <w:r w:rsidR="08297667" w:rsidRPr="000B6313">
        <w:rPr>
          <w:sz w:val="24"/>
          <w:szCs w:val="24"/>
        </w:rPr>
        <w:t>S</w:t>
      </w:r>
      <w:r w:rsidRPr="000B6313">
        <w:rPr>
          <w:sz w:val="24"/>
          <w:szCs w:val="24"/>
        </w:rPr>
        <w:t xml:space="preserve">ustainability </w:t>
      </w:r>
      <w:r w:rsidR="613CB26D" w:rsidRPr="000B6313">
        <w:rPr>
          <w:sz w:val="24"/>
          <w:szCs w:val="24"/>
        </w:rPr>
        <w:t>P</w:t>
      </w:r>
      <w:r w:rsidRPr="000B6313">
        <w:rPr>
          <w:sz w:val="24"/>
          <w:szCs w:val="24"/>
        </w:rPr>
        <w:t>lan template</w:t>
      </w:r>
      <w:bookmarkEnd w:id="0"/>
    </w:p>
    <w:p w14:paraId="0B9F0F86" w14:textId="1F38E30E" w:rsidR="005D24CB" w:rsidRPr="000B6313" w:rsidRDefault="005D24CB">
      <w:pPr>
        <w:rPr>
          <w:b/>
          <w:bCs/>
          <w:color w:val="FF0000"/>
        </w:rPr>
      </w:pPr>
    </w:p>
    <w:tbl>
      <w:tblPr>
        <w:tblW w:w="8680" w:type="dxa"/>
        <w:tblInd w:w="-431" w:type="dxa"/>
        <w:tblCellMar>
          <w:left w:w="10" w:type="dxa"/>
          <w:right w:w="10" w:type="dxa"/>
        </w:tblCellMar>
        <w:tblLook w:val="0000" w:firstRow="0" w:lastRow="0" w:firstColumn="0" w:lastColumn="0" w:noHBand="0" w:noVBand="0"/>
      </w:tblPr>
      <w:tblGrid>
        <w:gridCol w:w="9447"/>
      </w:tblGrid>
      <w:tr w:rsidR="005D24CB" w:rsidRPr="000B6313" w14:paraId="0B9F0F88"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0F87" w14:textId="2068696C" w:rsidR="005D24CB" w:rsidRPr="000B6313" w:rsidRDefault="002B69B0" w:rsidP="002B69B0">
            <w:pPr>
              <w:pStyle w:val="NormalWeb"/>
              <w:rPr>
                <w:rFonts w:ascii="Arial" w:hAnsi="Arial" w:cs="Arial"/>
                <w:b/>
                <w:bCs/>
              </w:rPr>
            </w:pPr>
            <w:r w:rsidRPr="000B6313">
              <w:rPr>
                <w:rFonts w:ascii="Arial" w:hAnsi="Arial" w:cs="Arial"/>
                <w:color w:val="000000"/>
              </w:rPr>
              <w:t>Section 1: Revised assessment of the current sustainability of local care markets</w:t>
            </w:r>
          </w:p>
        </w:tc>
      </w:tr>
      <w:tr w:rsidR="005D24CB" w:rsidRPr="000B6313" w14:paraId="0B9F0F8A"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0F89" w14:textId="3665FFBE" w:rsidR="00292E91" w:rsidRPr="000B6313" w:rsidRDefault="002B69B0" w:rsidP="002B69B0">
            <w:pPr>
              <w:pStyle w:val="NormalWeb"/>
              <w:rPr>
                <w:rFonts w:ascii="Arial" w:hAnsi="Arial" w:cs="Arial"/>
                <w:b/>
                <w:bCs/>
              </w:rPr>
            </w:pPr>
            <w:r w:rsidRPr="000B6313">
              <w:rPr>
                <w:rFonts w:ascii="Arial" w:hAnsi="Arial" w:cs="Arial"/>
                <w:color w:val="000000"/>
              </w:rPr>
              <w:t>a) Assessment of current sustainability of the 65+ care home market</w:t>
            </w:r>
          </w:p>
        </w:tc>
      </w:tr>
      <w:tr w:rsidR="572B04B1" w:rsidRPr="000B6313" w14:paraId="7839FC80" w14:textId="77777777" w:rsidTr="3AF364E3">
        <w:tblPrEx>
          <w:tblCellMar>
            <w:left w:w="108" w:type="dxa"/>
            <w:right w:w="108" w:type="dxa"/>
          </w:tblCellMar>
        </w:tblPrEx>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7F0EAC" w14:textId="77777777" w:rsidR="000B6313" w:rsidRDefault="000B6313" w:rsidP="572B04B1"/>
          <w:p w14:paraId="3A64411B" w14:textId="7F683325" w:rsidR="24613F60" w:rsidRPr="000B6313" w:rsidRDefault="1350F1EA" w:rsidP="572B04B1">
            <w:pPr>
              <w:rPr>
                <w:color w:val="212121"/>
              </w:rPr>
            </w:pPr>
            <w:r w:rsidRPr="000B6313">
              <w:t>Buckinghamshire has a population of 5</w:t>
            </w:r>
            <w:r w:rsidR="5275A931" w:rsidRPr="000B6313">
              <w:t>51,560 (January 2022</w:t>
            </w:r>
            <w:r w:rsidR="48453D64" w:rsidRPr="000B6313">
              <w:t>), of which</w:t>
            </w:r>
            <w:r w:rsidR="54E04AA0" w:rsidRPr="000B6313">
              <w:t xml:space="preserve"> 105,3</w:t>
            </w:r>
            <w:r w:rsidR="3002D9AC" w:rsidRPr="000B6313">
              <w:t>68</w:t>
            </w:r>
            <w:r w:rsidR="54E04AA0" w:rsidRPr="000B6313">
              <w:t xml:space="preserve"> people </w:t>
            </w:r>
            <w:r w:rsidR="0D45A286" w:rsidRPr="000B6313">
              <w:t xml:space="preserve">are </w:t>
            </w:r>
            <w:r w:rsidR="54E04AA0" w:rsidRPr="000B6313">
              <w:t>aged 65</w:t>
            </w:r>
            <w:r w:rsidR="00311151" w:rsidRPr="000B6313">
              <w:t xml:space="preserve"> years</w:t>
            </w:r>
            <w:r w:rsidR="54E04AA0" w:rsidRPr="000B6313">
              <w:t xml:space="preserve"> and over and 5</w:t>
            </w:r>
            <w:r w:rsidR="3002D9AC" w:rsidRPr="000B6313">
              <w:t>2,253</w:t>
            </w:r>
            <w:r w:rsidR="003131A8" w:rsidRPr="000B6313">
              <w:t xml:space="preserve"> are</w:t>
            </w:r>
            <w:r w:rsidR="001F4E35" w:rsidRPr="000B6313">
              <w:t xml:space="preserve"> aged</w:t>
            </w:r>
            <w:r w:rsidR="54E04AA0" w:rsidRPr="000B6313">
              <w:t xml:space="preserve"> 75</w:t>
            </w:r>
            <w:r w:rsidR="003D1E66" w:rsidRPr="000B6313">
              <w:t xml:space="preserve"> years</w:t>
            </w:r>
            <w:r w:rsidR="007A1813" w:rsidRPr="000B6313">
              <w:t xml:space="preserve"> and over</w:t>
            </w:r>
            <w:r w:rsidR="54E04AA0" w:rsidRPr="000B6313">
              <w:t xml:space="preserve">. It is estimated that between </w:t>
            </w:r>
            <w:r w:rsidR="70EB8D26" w:rsidRPr="000B6313">
              <w:t>2022 and 2032 there will be</w:t>
            </w:r>
            <w:r w:rsidR="00F6530A" w:rsidRPr="000B6313">
              <w:t xml:space="preserve"> a</w:t>
            </w:r>
            <w:r w:rsidR="70EB8D26" w:rsidRPr="000B6313">
              <w:t xml:space="preserve"> </w:t>
            </w:r>
            <w:r w:rsidR="70EB8D26" w:rsidRPr="000B6313">
              <w:rPr>
                <w:rFonts w:eastAsia="Helvetica"/>
                <w:color w:val="212121"/>
              </w:rPr>
              <w:t xml:space="preserve">19% increase in </w:t>
            </w:r>
            <w:r w:rsidR="00E36DDF" w:rsidRPr="000B6313">
              <w:rPr>
                <w:rFonts w:eastAsia="Helvetica"/>
                <w:color w:val="212121"/>
              </w:rPr>
              <w:t>those aged 65+</w:t>
            </w:r>
            <w:r w:rsidR="00AE7FF5" w:rsidRPr="000B6313">
              <w:rPr>
                <w:rFonts w:eastAsia="Helvetica"/>
                <w:color w:val="212121"/>
              </w:rPr>
              <w:t>, a 19.7% increase in</w:t>
            </w:r>
            <w:r w:rsidR="00ED2024" w:rsidRPr="000B6313">
              <w:rPr>
                <w:rFonts w:eastAsia="Helvetica"/>
                <w:color w:val="212121"/>
              </w:rPr>
              <w:t xml:space="preserve"> those aged</w:t>
            </w:r>
            <w:r w:rsidR="00F6530A" w:rsidRPr="000B6313">
              <w:rPr>
                <w:rFonts w:eastAsia="Helvetica"/>
                <w:color w:val="212121"/>
              </w:rPr>
              <w:t xml:space="preserve"> 75+,</w:t>
            </w:r>
            <w:r w:rsidR="70EB8D26" w:rsidRPr="000B6313">
              <w:rPr>
                <w:rFonts w:eastAsia="Helvetica"/>
                <w:color w:val="212121"/>
              </w:rPr>
              <w:t xml:space="preserve"> and a</w:t>
            </w:r>
            <w:r w:rsidR="4A128337" w:rsidRPr="000B6313">
              <w:rPr>
                <w:rFonts w:eastAsia="Helvetica"/>
                <w:color w:val="212121"/>
              </w:rPr>
              <w:t xml:space="preserve"> </w:t>
            </w:r>
            <w:r w:rsidR="70EB8D26" w:rsidRPr="000B6313">
              <w:rPr>
                <w:rFonts w:eastAsia="Helvetica"/>
                <w:color w:val="212121"/>
              </w:rPr>
              <w:t>38.4% increase in</w:t>
            </w:r>
            <w:r w:rsidR="00F56058" w:rsidRPr="000B6313">
              <w:rPr>
                <w:rFonts w:eastAsia="Helvetica"/>
                <w:color w:val="212121"/>
              </w:rPr>
              <w:t xml:space="preserve"> those aged</w:t>
            </w:r>
            <w:r w:rsidR="70EB8D26" w:rsidRPr="000B6313">
              <w:rPr>
                <w:rFonts w:eastAsia="Helvetica"/>
                <w:color w:val="212121"/>
              </w:rPr>
              <w:t xml:space="preserve"> 85+</w:t>
            </w:r>
            <w:r w:rsidR="00F6530A" w:rsidRPr="000B6313">
              <w:rPr>
                <w:rFonts w:eastAsia="Helvetica"/>
                <w:color w:val="212121"/>
              </w:rPr>
              <w:t>.</w:t>
            </w:r>
            <w:r w:rsidR="00E426D0" w:rsidRPr="000B6313">
              <w:rPr>
                <w:rFonts w:eastAsia="Helvetica"/>
                <w:color w:val="212121"/>
              </w:rPr>
              <w:t xml:space="preserve"> </w:t>
            </w:r>
            <w:r w:rsidR="0A4D421E" w:rsidRPr="000B6313">
              <w:t xml:space="preserve">Buckinghamshire Council’s </w:t>
            </w:r>
            <w:hyperlink r:id="rId11" w:anchor=":~:text=A%20strategy%20for%20the%20future%20of%20adult%20social,when%20needed%20to%20help%20people%20regain%20their%20independence." w:history="1">
              <w:r w:rsidR="0A4D421E" w:rsidRPr="000B6313">
                <w:rPr>
                  <w:rStyle w:val="Hyperlink"/>
                </w:rPr>
                <w:t>Better Lives Strategy</w:t>
              </w:r>
            </w:hyperlink>
            <w:r w:rsidR="0A4D421E" w:rsidRPr="000B6313">
              <w:t xml:space="preserve"> aims to help </w:t>
            </w:r>
            <w:r w:rsidR="00CB4D0E" w:rsidRPr="000B6313">
              <w:t>people</w:t>
            </w:r>
            <w:r w:rsidR="0A4D421E" w:rsidRPr="000B6313">
              <w:t xml:space="preserve"> live </w:t>
            </w:r>
            <w:r w:rsidR="553372DB" w:rsidRPr="000B6313">
              <w:t>independently</w:t>
            </w:r>
            <w:r w:rsidR="520F27B2" w:rsidRPr="000B6313">
              <w:t xml:space="preserve"> for</w:t>
            </w:r>
            <w:r w:rsidR="553372DB" w:rsidRPr="000B6313">
              <w:t xml:space="preserve"> as long as possible, regain their independence </w:t>
            </w:r>
            <w:r w:rsidR="35BE1568" w:rsidRPr="000B6313">
              <w:t xml:space="preserve">where </w:t>
            </w:r>
            <w:r w:rsidR="00F6530A" w:rsidRPr="000B6313">
              <w:t>possible</w:t>
            </w:r>
            <w:r w:rsidR="35BE1568" w:rsidRPr="000B6313">
              <w:t xml:space="preserve"> </w:t>
            </w:r>
            <w:r w:rsidR="553372DB" w:rsidRPr="000B6313">
              <w:t xml:space="preserve">and provide choice and control for </w:t>
            </w:r>
            <w:r w:rsidR="00CB4D0E" w:rsidRPr="000B6313">
              <w:t>those</w:t>
            </w:r>
            <w:r w:rsidR="553372DB" w:rsidRPr="000B6313">
              <w:t xml:space="preserve"> in need of </w:t>
            </w:r>
            <w:r w:rsidR="28C00327" w:rsidRPr="000B6313">
              <w:t>long-term</w:t>
            </w:r>
            <w:r w:rsidR="553372DB" w:rsidRPr="000B6313">
              <w:t xml:space="preserve"> care and support.</w:t>
            </w:r>
            <w:r w:rsidR="00E426D0" w:rsidRPr="000B6313">
              <w:t xml:space="preserve"> </w:t>
            </w:r>
            <w:r w:rsidR="421C457E" w:rsidRPr="000B6313">
              <w:t>Care provision in Buckinghamshire</w:t>
            </w:r>
            <w:r w:rsidR="00E426D0" w:rsidRPr="000B6313">
              <w:t>, therefore,</w:t>
            </w:r>
            <w:r w:rsidR="421C457E" w:rsidRPr="000B6313">
              <w:t xml:space="preserve"> </w:t>
            </w:r>
            <w:r w:rsidR="00292E91" w:rsidRPr="000B6313">
              <w:t>needs to be able to respond to</w:t>
            </w:r>
            <w:r w:rsidR="43A0C907" w:rsidRPr="000B6313">
              <w:t xml:space="preserve"> </w:t>
            </w:r>
            <w:r w:rsidR="421C457E" w:rsidRPr="000B6313">
              <w:t xml:space="preserve">a combination of changing demographics and </w:t>
            </w:r>
            <w:r w:rsidR="55A580C8" w:rsidRPr="000B6313">
              <w:t xml:space="preserve">a </w:t>
            </w:r>
            <w:r w:rsidR="421C457E" w:rsidRPr="000B6313">
              <w:t xml:space="preserve">move to supporting people to stay in their own home. </w:t>
            </w:r>
          </w:p>
          <w:p w14:paraId="1A374D2B" w14:textId="55AB25A2" w:rsidR="088D4456" w:rsidRPr="000B6313" w:rsidRDefault="4A30DEE6" w:rsidP="088D4456">
            <w:r w:rsidRPr="000B6313">
              <w:t xml:space="preserve">The local care market for both 65+ care homes and 18+ </w:t>
            </w:r>
            <w:r w:rsidR="10C09DFD" w:rsidRPr="000B6313">
              <w:t>domiciliary</w:t>
            </w:r>
            <w:r w:rsidRPr="000B6313">
              <w:t xml:space="preserve"> care includes </w:t>
            </w:r>
            <w:proofErr w:type="gramStart"/>
            <w:r w:rsidRPr="000B6313">
              <w:t>a number of</w:t>
            </w:r>
            <w:proofErr w:type="gramEnd"/>
            <w:r w:rsidRPr="000B6313">
              <w:t xml:space="preserve"> smaller </w:t>
            </w:r>
            <w:r w:rsidR="7A3F3B8D" w:rsidRPr="000B6313">
              <w:t xml:space="preserve">and independent providers with less provision </w:t>
            </w:r>
            <w:r w:rsidR="00413937" w:rsidRPr="000B6313">
              <w:t xml:space="preserve">delivered </w:t>
            </w:r>
            <w:r w:rsidR="7A3F3B8D" w:rsidRPr="000B6313">
              <w:t>by larger national chains.</w:t>
            </w:r>
            <w:r w:rsidR="63A4C818" w:rsidRPr="000B6313">
              <w:t xml:space="preserve"> Of the five largest care home providers nationally</w:t>
            </w:r>
            <w:r w:rsidR="00413937" w:rsidRPr="000B6313">
              <w:t>,</w:t>
            </w:r>
            <w:r w:rsidR="63A4C818" w:rsidRPr="000B6313">
              <w:t xml:space="preserve"> only </w:t>
            </w:r>
            <w:r w:rsidR="00413937" w:rsidRPr="000B6313">
              <w:t>three</w:t>
            </w:r>
            <w:r w:rsidR="63A4C818" w:rsidRPr="000B6313">
              <w:t xml:space="preserve"> operate in Buckinghamshire with low numbers of local authority clients. </w:t>
            </w:r>
            <w:r w:rsidR="7A3F3B8D" w:rsidRPr="000B6313">
              <w:t xml:space="preserve"> </w:t>
            </w:r>
            <w:r w:rsidR="21ED81BE" w:rsidRPr="000B6313">
              <w:t xml:space="preserve"> </w:t>
            </w:r>
          </w:p>
          <w:p w14:paraId="7952C2C8" w14:textId="05C05529" w:rsidR="71BDA617" w:rsidRPr="000B6313" w:rsidRDefault="6A2AC1D8">
            <w:pPr>
              <w:rPr>
                <w:color w:val="000000" w:themeColor="text1"/>
              </w:rPr>
            </w:pPr>
            <w:r w:rsidRPr="000B6313">
              <w:t>Buckinghamshire has integrated commissioning arrangements with the NHS whic</w:t>
            </w:r>
            <w:r w:rsidR="004C29F7" w:rsidRPr="000B6313">
              <w:t>h</w:t>
            </w:r>
            <w:r w:rsidRPr="000B6313">
              <w:t xml:space="preserve"> enables a co-ordinated approach to market management</w:t>
            </w:r>
            <w:r w:rsidR="30FC6317" w:rsidRPr="000B6313">
              <w:t xml:space="preserve">. </w:t>
            </w:r>
            <w:r w:rsidR="00C85DC6" w:rsidRPr="000B6313">
              <w:t>This includes</w:t>
            </w:r>
            <w:r w:rsidR="30FC6317" w:rsidRPr="000B6313">
              <w:t xml:space="preserve"> system wide quality surveillance </w:t>
            </w:r>
            <w:r w:rsidR="00A13301" w:rsidRPr="000B6313">
              <w:t>activity</w:t>
            </w:r>
            <w:r w:rsidR="1B90DE3D" w:rsidRPr="000B6313">
              <w:t>,</w:t>
            </w:r>
            <w:r w:rsidR="30FC6317" w:rsidRPr="000B6313">
              <w:t xml:space="preserve"> which </w:t>
            </w:r>
            <w:r w:rsidR="00FC5B7F" w:rsidRPr="000B6313">
              <w:t>facilitates</w:t>
            </w:r>
            <w:r w:rsidR="30FC6317" w:rsidRPr="000B6313">
              <w:t xml:space="preserve"> </w:t>
            </w:r>
            <w:r w:rsidR="00BA27A4" w:rsidRPr="000B6313">
              <w:t>coordinated</w:t>
            </w:r>
            <w:r w:rsidR="30FC6317" w:rsidRPr="000B6313">
              <w:t xml:space="preserve"> responses</w:t>
            </w:r>
            <w:r w:rsidR="00FC5B7F" w:rsidRPr="000B6313">
              <w:t xml:space="preserve"> </w:t>
            </w:r>
            <w:r w:rsidR="00040CBE" w:rsidRPr="000B6313">
              <w:t xml:space="preserve">to </w:t>
            </w:r>
            <w:r w:rsidR="00040CBE" w:rsidRPr="000B6313">
              <w:rPr>
                <w:color w:val="000000" w:themeColor="text1"/>
              </w:rPr>
              <w:t>support improvement where</w:t>
            </w:r>
            <w:r w:rsidR="30FC6317" w:rsidRPr="000B6313">
              <w:rPr>
                <w:color w:val="000000" w:themeColor="text1"/>
              </w:rPr>
              <w:t xml:space="preserve"> </w:t>
            </w:r>
            <w:r w:rsidR="00E923BC" w:rsidRPr="000B6313">
              <w:rPr>
                <w:color w:val="000000" w:themeColor="text1"/>
              </w:rPr>
              <w:t>there are concerns about the quality of provision</w:t>
            </w:r>
            <w:r w:rsidR="30FC6317" w:rsidRPr="000B6313">
              <w:rPr>
                <w:color w:val="000000" w:themeColor="text1"/>
              </w:rPr>
              <w:t>.</w:t>
            </w:r>
          </w:p>
          <w:p w14:paraId="04560137" w14:textId="0EDFF876" w:rsidR="31BAD687" w:rsidRPr="000B6313" w:rsidRDefault="09D1D952" w:rsidP="31BAD687">
            <w:pPr>
              <w:rPr>
                <w:color w:val="000000" w:themeColor="text1"/>
              </w:rPr>
            </w:pPr>
            <w:r w:rsidRPr="000B6313">
              <w:rPr>
                <w:color w:val="000000" w:themeColor="text1"/>
              </w:rPr>
              <w:t xml:space="preserve">There are </w:t>
            </w:r>
            <w:r w:rsidR="00C85DC6" w:rsidRPr="000B6313">
              <w:rPr>
                <w:color w:val="000000" w:themeColor="text1"/>
              </w:rPr>
              <w:t xml:space="preserve">some common </w:t>
            </w:r>
            <w:r w:rsidRPr="000B6313">
              <w:rPr>
                <w:color w:val="000000" w:themeColor="text1"/>
              </w:rPr>
              <w:t xml:space="preserve">challenges </w:t>
            </w:r>
            <w:r w:rsidR="00C85DC6" w:rsidRPr="000B6313">
              <w:rPr>
                <w:color w:val="000000" w:themeColor="text1"/>
              </w:rPr>
              <w:t xml:space="preserve">across </w:t>
            </w:r>
            <w:r w:rsidR="1472B4FD" w:rsidRPr="000B6313">
              <w:rPr>
                <w:color w:val="000000" w:themeColor="text1"/>
              </w:rPr>
              <w:t xml:space="preserve">the 65+ care </w:t>
            </w:r>
            <w:r w:rsidR="0ADE39BB" w:rsidRPr="000B6313">
              <w:rPr>
                <w:color w:val="000000" w:themeColor="text1"/>
              </w:rPr>
              <w:t>home</w:t>
            </w:r>
            <w:r w:rsidR="1472B4FD" w:rsidRPr="000B6313">
              <w:rPr>
                <w:color w:val="000000" w:themeColor="text1"/>
              </w:rPr>
              <w:t xml:space="preserve"> market and the 18+ </w:t>
            </w:r>
            <w:r w:rsidR="4DE4B2E8" w:rsidRPr="000B6313">
              <w:rPr>
                <w:color w:val="000000" w:themeColor="text1"/>
              </w:rPr>
              <w:t>domiciliary</w:t>
            </w:r>
            <w:r w:rsidR="1472B4FD" w:rsidRPr="000B6313">
              <w:rPr>
                <w:color w:val="000000" w:themeColor="text1"/>
              </w:rPr>
              <w:t xml:space="preserve"> care market</w:t>
            </w:r>
            <w:r w:rsidR="7000DB56" w:rsidRPr="000B6313">
              <w:rPr>
                <w:color w:val="000000" w:themeColor="text1"/>
              </w:rPr>
              <w:t>. These are</w:t>
            </w:r>
            <w:r w:rsidR="12E06C39" w:rsidRPr="000B6313">
              <w:rPr>
                <w:color w:val="000000" w:themeColor="text1"/>
              </w:rPr>
              <w:t>:</w:t>
            </w:r>
          </w:p>
          <w:p w14:paraId="60E5BA91" w14:textId="5D91962B" w:rsidR="0020019C" w:rsidRPr="000B6313" w:rsidRDefault="68F33BD0" w:rsidP="007419CE">
            <w:pPr>
              <w:pStyle w:val="ListParagraph"/>
              <w:numPr>
                <w:ilvl w:val="0"/>
                <w:numId w:val="18"/>
              </w:numPr>
              <w:rPr>
                <w:rFonts w:eastAsia="Arial"/>
              </w:rPr>
            </w:pPr>
            <w:r w:rsidRPr="000B6313">
              <w:rPr>
                <w:color w:val="000000" w:themeColor="text1"/>
                <w:u w:val="single"/>
              </w:rPr>
              <w:t>Responding to i</w:t>
            </w:r>
            <w:r w:rsidR="2B64D661" w:rsidRPr="000B6313">
              <w:rPr>
                <w:color w:val="000000" w:themeColor="text1"/>
                <w:u w:val="single"/>
              </w:rPr>
              <w:t>ncreasing complexity and frailty</w:t>
            </w:r>
            <w:r w:rsidR="00706AF5" w:rsidRPr="000B6313">
              <w:rPr>
                <w:color w:val="000000" w:themeColor="text1"/>
                <w:u w:val="single"/>
              </w:rPr>
              <w:t>:</w:t>
            </w:r>
            <w:r w:rsidR="59FA0D65" w:rsidRPr="000B6313">
              <w:rPr>
                <w:color w:val="000000" w:themeColor="text1"/>
              </w:rPr>
              <w:t xml:space="preserve"> </w:t>
            </w:r>
            <w:r w:rsidR="0086116A" w:rsidRPr="000B6313">
              <w:rPr>
                <w:color w:val="000000" w:themeColor="text1"/>
              </w:rPr>
              <w:t>P</w:t>
            </w:r>
            <w:r w:rsidR="59FA0D65" w:rsidRPr="000B6313">
              <w:rPr>
                <w:color w:val="000000" w:themeColor="text1"/>
              </w:rPr>
              <w:t xml:space="preserve">ost Covid there </w:t>
            </w:r>
            <w:r w:rsidR="36A6FB35" w:rsidRPr="000B6313">
              <w:rPr>
                <w:color w:val="000000" w:themeColor="text1"/>
              </w:rPr>
              <w:t xml:space="preserve">is </w:t>
            </w:r>
            <w:r w:rsidR="0086116A" w:rsidRPr="000B6313">
              <w:rPr>
                <w:color w:val="000000" w:themeColor="text1"/>
              </w:rPr>
              <w:t xml:space="preserve">emerging evidence of an </w:t>
            </w:r>
            <w:r w:rsidR="36A6FB35" w:rsidRPr="000B6313">
              <w:rPr>
                <w:color w:val="000000" w:themeColor="text1"/>
              </w:rPr>
              <w:t>increase in co</w:t>
            </w:r>
            <w:r w:rsidR="59FA0D65" w:rsidRPr="000B6313">
              <w:rPr>
                <w:color w:val="000000" w:themeColor="text1"/>
              </w:rPr>
              <w:t xml:space="preserve">mplexity </w:t>
            </w:r>
            <w:r w:rsidR="00237277" w:rsidRPr="000B6313">
              <w:rPr>
                <w:color w:val="000000" w:themeColor="text1"/>
              </w:rPr>
              <w:t>amongst</w:t>
            </w:r>
            <w:r w:rsidR="59FA0D65" w:rsidRPr="000B6313">
              <w:rPr>
                <w:color w:val="000000" w:themeColor="text1"/>
              </w:rPr>
              <w:t xml:space="preserve"> clients being discharged from hospital</w:t>
            </w:r>
            <w:r w:rsidR="430128CA" w:rsidRPr="000B6313">
              <w:rPr>
                <w:color w:val="000000" w:themeColor="text1"/>
              </w:rPr>
              <w:t xml:space="preserve">. </w:t>
            </w:r>
            <w:r w:rsidR="000F47A5" w:rsidRPr="000B6313">
              <w:rPr>
                <w:color w:val="000000" w:themeColor="text1"/>
              </w:rPr>
              <w:t>Additionally, d</w:t>
            </w:r>
            <w:r w:rsidR="430128CA" w:rsidRPr="000B6313">
              <w:rPr>
                <w:color w:val="000000" w:themeColor="text1"/>
              </w:rPr>
              <w:t xml:space="preserve">ata </w:t>
            </w:r>
            <w:r w:rsidR="005C1B93" w:rsidRPr="000B6313">
              <w:rPr>
                <w:color w:val="000000" w:themeColor="text1"/>
              </w:rPr>
              <w:t>indicates</w:t>
            </w:r>
            <w:r w:rsidR="430128CA" w:rsidRPr="000B6313">
              <w:rPr>
                <w:color w:val="000000" w:themeColor="text1"/>
              </w:rPr>
              <w:t xml:space="preserve"> that </w:t>
            </w:r>
            <w:r w:rsidR="3B641987" w:rsidRPr="000B6313">
              <w:rPr>
                <w:color w:val="000000" w:themeColor="text1"/>
              </w:rPr>
              <w:t xml:space="preserve">the move to supporting more people to stay in their own homes </w:t>
            </w:r>
            <w:r w:rsidR="3B641987" w:rsidRPr="000B6313">
              <w:t xml:space="preserve">means </w:t>
            </w:r>
            <w:r w:rsidR="002F6512" w:rsidRPr="000B6313">
              <w:t>growing</w:t>
            </w:r>
            <w:r w:rsidR="3B641987" w:rsidRPr="000B6313">
              <w:t xml:space="preserve"> </w:t>
            </w:r>
            <w:r w:rsidR="0591709D" w:rsidRPr="000B6313">
              <w:t>need</w:t>
            </w:r>
            <w:r w:rsidR="005C1B93" w:rsidRPr="000B6313">
              <w:t xml:space="preserve"> and </w:t>
            </w:r>
            <w:r w:rsidR="3B641987" w:rsidRPr="000B6313">
              <w:t xml:space="preserve">complexity </w:t>
            </w:r>
            <w:r w:rsidR="005C1B93" w:rsidRPr="000B6313">
              <w:t>in domiciliary care</w:t>
            </w:r>
            <w:r w:rsidR="0045578E" w:rsidRPr="000B6313">
              <w:t xml:space="preserve">, </w:t>
            </w:r>
            <w:r w:rsidR="3B641987" w:rsidRPr="000B6313">
              <w:t>evidence</w:t>
            </w:r>
            <w:r w:rsidR="2B786C2C" w:rsidRPr="000B6313">
              <w:t>d</w:t>
            </w:r>
            <w:r w:rsidR="3B641987" w:rsidRPr="000B6313">
              <w:t xml:space="preserve"> by an increase in the average nu</w:t>
            </w:r>
            <w:r w:rsidR="7182C93B" w:rsidRPr="000B6313">
              <w:t>mber of hours per client</w:t>
            </w:r>
            <w:r w:rsidR="0020019C" w:rsidRPr="000B6313">
              <w:t>.</w:t>
            </w:r>
            <w:r w:rsidR="008D0403" w:rsidRPr="000B6313">
              <w:rPr>
                <w:rFonts w:eastAsia="Times New Roman"/>
              </w:rPr>
              <w:t xml:space="preserve"> Increasing levels of dementia are also contributing to more clients with behaviours that challenge. </w:t>
            </w:r>
            <w:r w:rsidR="16440B2E" w:rsidRPr="000B6313">
              <w:rPr>
                <w:rFonts w:eastAsia="Times New Roman"/>
              </w:rPr>
              <w:t>It is estimated that 7,126 people in Buckinghamshire have dementia and that 70% of people living in care homes are likely to have dementia.</w:t>
            </w:r>
          </w:p>
          <w:p w14:paraId="03CB8062" w14:textId="77777777" w:rsidR="007A739A" w:rsidRPr="000B6313" w:rsidRDefault="007A739A" w:rsidP="007A739A">
            <w:pPr>
              <w:pStyle w:val="ListParagraph"/>
              <w:spacing w:after="0"/>
              <w:ind w:left="360"/>
              <w:rPr>
                <w:color w:val="FF0000"/>
              </w:rPr>
            </w:pPr>
          </w:p>
          <w:p w14:paraId="5500F756" w14:textId="77777777" w:rsidR="002C1390" w:rsidRPr="000B6313" w:rsidRDefault="004705D0" w:rsidP="006B336E">
            <w:pPr>
              <w:pStyle w:val="ListParagraph"/>
              <w:numPr>
                <w:ilvl w:val="0"/>
                <w:numId w:val="3"/>
              </w:numPr>
              <w:spacing w:after="0" w:line="240" w:lineRule="auto"/>
              <w:rPr>
                <w:rFonts w:eastAsia="Arial"/>
              </w:rPr>
            </w:pPr>
            <w:r w:rsidRPr="000B6313">
              <w:rPr>
                <w:u w:val="single"/>
              </w:rPr>
              <w:t>R</w:t>
            </w:r>
            <w:r w:rsidR="5F12AA39" w:rsidRPr="000B6313">
              <w:rPr>
                <w:u w:val="single"/>
              </w:rPr>
              <w:t>ecruitment and retention</w:t>
            </w:r>
            <w:r w:rsidR="00706AF5" w:rsidRPr="000B6313">
              <w:rPr>
                <w:u w:val="single"/>
              </w:rPr>
              <w:t>:</w:t>
            </w:r>
            <w:r w:rsidR="00D778BD" w:rsidRPr="000B6313">
              <w:t xml:space="preserve"> </w:t>
            </w:r>
            <w:r w:rsidR="000F545C" w:rsidRPr="000B6313">
              <w:t xml:space="preserve">National data from </w:t>
            </w:r>
            <w:hyperlink r:id="rId12" w:history="1">
              <w:r w:rsidR="000F545C" w:rsidRPr="000B6313">
                <w:rPr>
                  <w:rStyle w:val="Hyperlink"/>
                </w:rPr>
                <w:t>Skills for Care</w:t>
              </w:r>
            </w:hyperlink>
            <w:r w:rsidR="000F545C" w:rsidRPr="000B6313">
              <w:t xml:space="preserve"> (October 2022) highlights growing challenges</w:t>
            </w:r>
            <w:r w:rsidR="003A51DE" w:rsidRPr="000B6313">
              <w:t>, including a 52% increase in vacancies within the adult social care sector and 50,000 less filled posts</w:t>
            </w:r>
            <w:r w:rsidR="008F1441" w:rsidRPr="000B6313">
              <w:t xml:space="preserve"> (2021/22 compared to 2020/21)</w:t>
            </w:r>
            <w:r w:rsidR="003A51DE" w:rsidRPr="000B6313">
              <w:t xml:space="preserve">. </w:t>
            </w:r>
            <w:hyperlink r:id="rId13" w:history="1">
              <w:r w:rsidR="003A51DE" w:rsidRPr="000B6313">
                <w:rPr>
                  <w:rStyle w:val="Hyperlink"/>
                </w:rPr>
                <w:t>Government workforce data</w:t>
              </w:r>
            </w:hyperlink>
            <w:r w:rsidR="00972000" w:rsidRPr="000B6313">
              <w:t xml:space="preserve"> (December 2021)</w:t>
            </w:r>
            <w:r w:rsidR="003A51DE" w:rsidRPr="000B6313">
              <w:t xml:space="preserve"> indicates that </w:t>
            </w:r>
            <w:r w:rsidR="00632748" w:rsidRPr="000B6313">
              <w:t xml:space="preserve">82% of domiciliary care providers and 81% of care home providers </w:t>
            </w:r>
            <w:r w:rsidR="00972000" w:rsidRPr="000B6313">
              <w:t xml:space="preserve">felt recruitment got harder </w:t>
            </w:r>
            <w:r w:rsidR="006B336E" w:rsidRPr="000B6313">
              <w:t>between April 2021 and October 2021</w:t>
            </w:r>
            <w:r w:rsidR="00632748" w:rsidRPr="000B6313">
              <w:t xml:space="preserve">. Better pay, working hours and conditions outside of the sector </w:t>
            </w:r>
            <w:r w:rsidR="006B336E" w:rsidRPr="000B6313">
              <w:t xml:space="preserve">were cited as </w:t>
            </w:r>
            <w:r w:rsidR="00632748" w:rsidRPr="000B6313">
              <w:t>key reasons</w:t>
            </w:r>
            <w:r w:rsidR="006B336E" w:rsidRPr="000B6313">
              <w:t xml:space="preserve">. </w:t>
            </w:r>
          </w:p>
          <w:p w14:paraId="15879A4F" w14:textId="77777777" w:rsidR="002C1390" w:rsidRPr="000B6313" w:rsidRDefault="002C1390" w:rsidP="002C1390">
            <w:pPr>
              <w:pStyle w:val="ListParagraph"/>
              <w:spacing w:after="0" w:line="240" w:lineRule="auto"/>
              <w:ind w:left="360"/>
              <w:rPr>
                <w:u w:val="single"/>
              </w:rPr>
            </w:pPr>
          </w:p>
          <w:p w14:paraId="7FAD4E8D" w14:textId="05120C60" w:rsidR="00FA0922" w:rsidRPr="000B6313" w:rsidRDefault="006B336E" w:rsidP="002C1390">
            <w:pPr>
              <w:pStyle w:val="ListParagraph"/>
              <w:spacing w:after="0" w:line="240" w:lineRule="auto"/>
              <w:ind w:left="360"/>
            </w:pPr>
            <w:r w:rsidRPr="000B6313">
              <w:t xml:space="preserve">Feedback from </w:t>
            </w:r>
            <w:r w:rsidR="00EC0390" w:rsidRPr="000B6313">
              <w:t>local</w:t>
            </w:r>
            <w:r w:rsidRPr="000B6313">
              <w:t xml:space="preserve"> providers indicates their experiences mirror the national picture. </w:t>
            </w:r>
            <w:r w:rsidR="35913925" w:rsidRPr="000B6313">
              <w:t xml:space="preserve">Last year, </w:t>
            </w:r>
            <w:r w:rsidR="5A4FA42B" w:rsidRPr="000B6313">
              <w:t>the</w:t>
            </w:r>
            <w:r w:rsidR="0FC45B57" w:rsidRPr="000B6313">
              <w:t xml:space="preserve"> Council undertook a survey </w:t>
            </w:r>
            <w:r w:rsidR="00992DF1" w:rsidRPr="000B6313">
              <w:t>of</w:t>
            </w:r>
            <w:r w:rsidR="0FC45B57" w:rsidRPr="000B6313">
              <w:t xml:space="preserve"> adult social care provider</w:t>
            </w:r>
            <w:r w:rsidR="003A4BF0" w:rsidRPr="000B6313">
              <w:t>s, and r</w:t>
            </w:r>
            <w:r w:rsidR="0FC45B57" w:rsidRPr="000B6313">
              <w:t xml:space="preserve">ecruitment challenges </w:t>
            </w:r>
            <w:r w:rsidR="00992DF1" w:rsidRPr="000B6313">
              <w:t>were</w:t>
            </w:r>
            <w:r w:rsidRPr="000B6313">
              <w:t xml:space="preserve"> identified as </w:t>
            </w:r>
            <w:r w:rsidR="004705D0" w:rsidRPr="000B6313">
              <w:t xml:space="preserve">a key concern. A risk of </w:t>
            </w:r>
            <w:r w:rsidR="7A8D0009" w:rsidRPr="000B6313">
              <w:rPr>
                <w:color w:val="000000" w:themeColor="text1"/>
              </w:rPr>
              <w:t xml:space="preserve">“burn-out” </w:t>
            </w:r>
            <w:r w:rsidR="004705D0" w:rsidRPr="000B6313">
              <w:rPr>
                <w:color w:val="000000" w:themeColor="text1"/>
              </w:rPr>
              <w:lastRenderedPageBreak/>
              <w:t xml:space="preserve">was also identified, </w:t>
            </w:r>
            <w:r w:rsidR="7A8D0009" w:rsidRPr="000B6313">
              <w:rPr>
                <w:color w:val="000000" w:themeColor="text1"/>
              </w:rPr>
              <w:t>due to additional pressures</w:t>
            </w:r>
            <w:r w:rsidR="004705D0" w:rsidRPr="000B6313">
              <w:rPr>
                <w:color w:val="000000" w:themeColor="text1"/>
              </w:rPr>
              <w:t xml:space="preserve"> </w:t>
            </w:r>
            <w:r w:rsidR="7A8D0009" w:rsidRPr="000B6313">
              <w:rPr>
                <w:color w:val="000000" w:themeColor="text1"/>
              </w:rPr>
              <w:t>brought by the pandemic in an already stretched system.</w:t>
            </w:r>
            <w:r w:rsidR="002C1390" w:rsidRPr="000B6313">
              <w:rPr>
                <w:color w:val="000000" w:themeColor="text1"/>
              </w:rPr>
              <w:t xml:space="preserve"> </w:t>
            </w:r>
            <w:r w:rsidR="673BB290" w:rsidRPr="000B6313">
              <w:t>However,</w:t>
            </w:r>
            <w:r w:rsidR="00906649" w:rsidRPr="000B6313">
              <w:t xml:space="preserve"> </w:t>
            </w:r>
            <w:r w:rsidR="002A125F" w:rsidRPr="000B6313">
              <w:t>many local</w:t>
            </w:r>
            <w:r w:rsidR="27F126CE" w:rsidRPr="000B6313">
              <w:t xml:space="preserve"> </w:t>
            </w:r>
            <w:r w:rsidR="00906649" w:rsidRPr="000B6313">
              <w:t xml:space="preserve">providers </w:t>
            </w:r>
            <w:r w:rsidR="6C686A6C" w:rsidRPr="000B6313">
              <w:t xml:space="preserve">still articulated ambition </w:t>
            </w:r>
            <w:r w:rsidR="00906649" w:rsidRPr="000B6313">
              <w:t>to develop their business</w:t>
            </w:r>
            <w:r w:rsidR="4571DE85" w:rsidRPr="000B6313">
              <w:t>.</w:t>
            </w:r>
          </w:p>
          <w:p w14:paraId="6289B378" w14:textId="56AD0FB6" w:rsidR="002C1390" w:rsidRPr="000B6313" w:rsidRDefault="002C1390" w:rsidP="002C1390">
            <w:pPr>
              <w:pStyle w:val="ListParagraph"/>
              <w:spacing w:after="0" w:line="240" w:lineRule="auto"/>
              <w:ind w:left="360"/>
              <w:rPr>
                <w:rFonts w:eastAsia="Arial"/>
              </w:rPr>
            </w:pPr>
          </w:p>
          <w:p w14:paraId="414B05AA" w14:textId="563CF38D" w:rsidR="006C4637" w:rsidRPr="000B6313" w:rsidRDefault="002C1390" w:rsidP="006C4637">
            <w:pPr>
              <w:pStyle w:val="ListParagraph"/>
              <w:spacing w:after="0" w:line="240" w:lineRule="auto"/>
              <w:ind w:left="360"/>
            </w:pPr>
            <w:r w:rsidRPr="000B6313">
              <w:t xml:space="preserve">There are </w:t>
            </w:r>
            <w:proofErr w:type="gramStart"/>
            <w:r w:rsidRPr="000B6313">
              <w:t>particular pressures</w:t>
            </w:r>
            <w:proofErr w:type="gramEnd"/>
            <w:r w:rsidRPr="000B6313">
              <w:t xml:space="preserve"> impacting recruitment in the care sector, including competition from </w:t>
            </w:r>
            <w:r w:rsidR="00680FD2" w:rsidRPr="000B6313">
              <w:t xml:space="preserve">other </w:t>
            </w:r>
            <w:r w:rsidRPr="000B6313">
              <w:t xml:space="preserve">sectors such as retail which offers similar remuneration, but with less responsibility and pressure. </w:t>
            </w:r>
            <w:r w:rsidR="00D13879" w:rsidRPr="000B6313">
              <w:t>Providers have reported that their intelligence is that these sectors are also struggling to recruit</w:t>
            </w:r>
            <w:r w:rsidR="006C2387" w:rsidRPr="000B6313">
              <w:t xml:space="preserve"> and so there is a lot of opportunity for people to stay in t</w:t>
            </w:r>
            <w:r w:rsidR="000D4BAA" w:rsidRPr="000B6313">
              <w:t xml:space="preserve">hese other sectors or for them to </w:t>
            </w:r>
            <w:r w:rsidR="006C2387" w:rsidRPr="000B6313">
              <w:t xml:space="preserve">become a career destination for </w:t>
            </w:r>
            <w:r w:rsidR="001277E1" w:rsidRPr="000B6313">
              <w:t xml:space="preserve">people in the </w:t>
            </w:r>
            <w:r w:rsidR="00810D05" w:rsidRPr="000B6313">
              <w:t>c</w:t>
            </w:r>
            <w:r w:rsidR="001277E1" w:rsidRPr="000B6313">
              <w:t xml:space="preserve">are sector. </w:t>
            </w:r>
            <w:r w:rsidR="0025469B" w:rsidRPr="000B6313">
              <w:t xml:space="preserve">Buckinghamshire </w:t>
            </w:r>
            <w:r w:rsidRPr="000B6313">
              <w:t>providers report that they</w:t>
            </w:r>
            <w:r w:rsidR="00C01F2B" w:rsidRPr="000B6313">
              <w:t xml:space="preserve"> </w:t>
            </w:r>
            <w:r w:rsidR="0A4EA0E5" w:rsidRPr="000B6313">
              <w:t>are having to review their Terms and Conditions</w:t>
            </w:r>
            <w:r w:rsidR="00C01F2B" w:rsidRPr="000B6313">
              <w:t xml:space="preserve"> and increase pay </w:t>
            </w:r>
            <w:r w:rsidR="0A4EA0E5" w:rsidRPr="000B6313">
              <w:t>to recruit and retain staff. However</w:t>
            </w:r>
            <w:r w:rsidR="00C01F2B" w:rsidRPr="000B6313">
              <w:t>,</w:t>
            </w:r>
            <w:r w:rsidR="0A4EA0E5" w:rsidRPr="000B6313">
              <w:t xml:space="preserve"> the</w:t>
            </w:r>
            <w:r w:rsidR="000428BC" w:rsidRPr="000B6313">
              <w:t>ir</w:t>
            </w:r>
            <w:r w:rsidR="0A4EA0E5" w:rsidRPr="000B6313">
              <w:t xml:space="preserve"> perception is </w:t>
            </w:r>
            <w:r w:rsidR="00676281" w:rsidRPr="000B6313">
              <w:t>that this approach</w:t>
            </w:r>
            <w:r w:rsidR="0A4EA0E5" w:rsidRPr="000B6313">
              <w:t xml:space="preserve"> is not increasing the</w:t>
            </w:r>
            <w:r w:rsidR="08E1C64E" w:rsidRPr="000B6313">
              <w:t xml:space="preserve"> workforce, but </w:t>
            </w:r>
            <w:r w:rsidR="00676281" w:rsidRPr="000B6313">
              <w:t>rather encourages</w:t>
            </w:r>
            <w:r w:rsidR="08E1C64E" w:rsidRPr="000B6313">
              <w:t xml:space="preserve"> existing staff to move between </w:t>
            </w:r>
            <w:r w:rsidR="00294E32" w:rsidRPr="000B6313">
              <w:t xml:space="preserve">organisations. </w:t>
            </w:r>
            <w:r w:rsidR="00047219" w:rsidRPr="000B6313">
              <w:t>Local providers have also raised that growing levels of complexity and increasing assurance processes are creating hugely challenging levels of responsibility for Registered Managers. They report this is making recruitment harder</w:t>
            </w:r>
            <w:r w:rsidR="0057463A" w:rsidRPr="000B6313">
              <w:t xml:space="preserve"> when</w:t>
            </w:r>
            <w:r w:rsidR="00047219" w:rsidRPr="000B6313">
              <w:t xml:space="preserve"> good Registered Managers are key to operations</w:t>
            </w:r>
            <w:r w:rsidR="002F6D3E" w:rsidRPr="000B6313">
              <w:t xml:space="preserve"> and retention of staff. Buckinghamshire has </w:t>
            </w:r>
            <w:r w:rsidR="0057463A" w:rsidRPr="000B6313">
              <w:t xml:space="preserve">a </w:t>
            </w:r>
            <w:r w:rsidR="002F6D3E" w:rsidRPr="000B6313">
              <w:t xml:space="preserve">good training and support offer to </w:t>
            </w:r>
            <w:r w:rsidR="006C4637" w:rsidRPr="000B6313">
              <w:t xml:space="preserve">social care staff, including a </w:t>
            </w:r>
            <w:r w:rsidR="00477D42">
              <w:t xml:space="preserve">the development of a specific training programme for </w:t>
            </w:r>
            <w:r w:rsidR="006C4637" w:rsidRPr="000B6313">
              <w:t xml:space="preserve">Registered Managers </w:t>
            </w:r>
            <w:r w:rsidR="004140A7">
              <w:t xml:space="preserve">and the maintenance of a Registered Managers </w:t>
            </w:r>
            <w:r w:rsidR="006C4637" w:rsidRPr="000B6313">
              <w:t>Network</w:t>
            </w:r>
            <w:r w:rsidR="004140A7">
              <w:t xml:space="preserve"> </w:t>
            </w:r>
            <w:proofErr w:type="gramStart"/>
            <w:r w:rsidR="004140A7">
              <w:t xml:space="preserve">However </w:t>
            </w:r>
            <w:r w:rsidR="000B5EA6" w:rsidRPr="000B6313">
              <w:t xml:space="preserve"> recruitment</w:t>
            </w:r>
            <w:proofErr w:type="gramEnd"/>
            <w:r w:rsidR="000B5EA6" w:rsidRPr="000B6313">
              <w:t xml:space="preserve"> of quality managers is still an issue. </w:t>
            </w:r>
          </w:p>
          <w:p w14:paraId="7CEAF354" w14:textId="77777777" w:rsidR="00163DB8" w:rsidRPr="000B6313" w:rsidRDefault="00163DB8" w:rsidP="00410459">
            <w:pPr>
              <w:pStyle w:val="ListParagraph"/>
              <w:spacing w:after="0" w:line="240" w:lineRule="auto"/>
              <w:ind w:left="360"/>
            </w:pPr>
          </w:p>
          <w:p w14:paraId="3CB4261A" w14:textId="0AEF0B68" w:rsidR="2383FAC4" w:rsidRPr="000B6313" w:rsidRDefault="00084FF9" w:rsidP="00410459">
            <w:pPr>
              <w:pStyle w:val="ListParagraph"/>
              <w:spacing w:after="0" w:line="240" w:lineRule="auto"/>
              <w:ind w:left="360"/>
              <w:rPr>
                <w:color w:val="FF0000"/>
              </w:rPr>
            </w:pPr>
            <w:r w:rsidRPr="000B6313">
              <w:t xml:space="preserve">As recruitment challenges </w:t>
            </w:r>
            <w:r w:rsidR="00410459" w:rsidRPr="000B6313">
              <w:t>worsen,</w:t>
            </w:r>
            <w:r w:rsidR="6EC2C17E" w:rsidRPr="000B6313">
              <w:t xml:space="preserve"> providers are becoming more dependent on agency staff</w:t>
            </w:r>
            <w:r w:rsidR="005E6121" w:rsidRPr="000B6313">
              <w:t>, which pushes up staff</w:t>
            </w:r>
            <w:r w:rsidR="003330B9" w:rsidRPr="000B6313">
              <w:t>ing costs</w:t>
            </w:r>
            <w:r w:rsidR="62B15D76" w:rsidRPr="000B6313">
              <w:t xml:space="preserve">. </w:t>
            </w:r>
            <w:proofErr w:type="gramStart"/>
            <w:r w:rsidR="0009702F" w:rsidRPr="000B6313">
              <w:t>Also</w:t>
            </w:r>
            <w:proofErr w:type="gramEnd"/>
            <w:r w:rsidR="0009702F" w:rsidRPr="000B6313">
              <w:t xml:space="preserve"> as </w:t>
            </w:r>
            <w:r w:rsidR="008D1DD8" w:rsidRPr="000B6313">
              <w:t>demand for agency workers is increasing and often guaranteed, s</w:t>
            </w:r>
            <w:r w:rsidR="00BF3DDA" w:rsidRPr="000B6313">
              <w:t xml:space="preserve">ome providers are seeing </w:t>
            </w:r>
            <w:r w:rsidR="002C0771" w:rsidRPr="000B6313">
              <w:t xml:space="preserve">care staff move away from permanent employment to take up agency work, which </w:t>
            </w:r>
            <w:r w:rsidR="00706AF5" w:rsidRPr="000B6313">
              <w:t xml:space="preserve">can </w:t>
            </w:r>
            <w:r w:rsidR="00C270FB" w:rsidRPr="000B6313">
              <w:t>offer</w:t>
            </w:r>
            <w:r w:rsidR="00706AF5" w:rsidRPr="000B6313">
              <w:t xml:space="preserve"> added benefits around flexibility and pay</w:t>
            </w:r>
            <w:r w:rsidR="003330B9" w:rsidRPr="000B6313">
              <w:t>.</w:t>
            </w:r>
            <w:r w:rsidR="00706AF5" w:rsidRPr="000B6313">
              <w:t xml:space="preserve"> </w:t>
            </w:r>
            <w:r w:rsidR="004E51EB" w:rsidRPr="000B6313">
              <w:t>Providers feel strongly that the main opportunity to increase the social care workforce is from greater and easier access to overseas workers.</w:t>
            </w:r>
            <w:r w:rsidR="007D1493" w:rsidRPr="000B6313">
              <w:t xml:space="preserve">  </w:t>
            </w:r>
            <w:proofErr w:type="gramStart"/>
            <w:r w:rsidR="00DA08D5" w:rsidRPr="000B6313">
              <w:t>A number of</w:t>
            </w:r>
            <w:proofErr w:type="gramEnd"/>
            <w:r w:rsidR="00DA08D5" w:rsidRPr="000B6313">
              <w:t xml:space="preserve"> providers, but not all, </w:t>
            </w:r>
            <w:r w:rsidR="007D1493" w:rsidRPr="000B6313">
              <w:t xml:space="preserve">have raised that the processes for overseas recruitment are difficult and costly and are unworkable for smaller providers. In </w:t>
            </w:r>
            <w:proofErr w:type="gramStart"/>
            <w:r w:rsidR="007D1493" w:rsidRPr="000B6313">
              <w:t>addition</w:t>
            </w:r>
            <w:proofErr w:type="gramEnd"/>
            <w:r w:rsidR="007D1493" w:rsidRPr="000B6313">
              <w:t xml:space="preserve"> </w:t>
            </w:r>
            <w:r w:rsidR="000B3572" w:rsidRPr="000B6313">
              <w:t>the</w:t>
            </w:r>
            <w:r w:rsidR="00745123">
              <w:t>y</w:t>
            </w:r>
            <w:r w:rsidR="000B3572" w:rsidRPr="000B6313">
              <w:t xml:space="preserve"> have also cited issues with </w:t>
            </w:r>
            <w:r w:rsidR="007D1493" w:rsidRPr="000B6313">
              <w:t xml:space="preserve">the lack of opportunity </w:t>
            </w:r>
            <w:r w:rsidR="000B3572" w:rsidRPr="000B6313">
              <w:t>to offer</w:t>
            </w:r>
            <w:r w:rsidR="007D1493" w:rsidRPr="000B6313">
              <w:t xml:space="preserve"> career progression</w:t>
            </w:r>
            <w:r w:rsidR="000B3572" w:rsidRPr="000B6313">
              <w:t xml:space="preserve"> for staf</w:t>
            </w:r>
            <w:r w:rsidR="00745123">
              <w:t>f</w:t>
            </w:r>
            <w:r w:rsidR="000B3572" w:rsidRPr="000B6313">
              <w:t xml:space="preserve"> from overseas</w:t>
            </w:r>
            <w:r w:rsidR="007D1493" w:rsidRPr="000B6313">
              <w:t xml:space="preserve">, including </w:t>
            </w:r>
            <w:r w:rsidR="000B3572" w:rsidRPr="000B6313">
              <w:t xml:space="preserve">no </w:t>
            </w:r>
            <w:r w:rsidR="007D1493" w:rsidRPr="000B6313">
              <w:t>access to NVQ qualifications</w:t>
            </w:r>
            <w:r w:rsidR="000B3572" w:rsidRPr="000B6313">
              <w:t xml:space="preserve">. They have reported this is </w:t>
            </w:r>
            <w:r w:rsidR="007D1493" w:rsidRPr="000B6313">
              <w:t xml:space="preserve">limiting the potential to grow talented overseas staff into greatly needed roles.  </w:t>
            </w:r>
          </w:p>
          <w:p w14:paraId="0FAAAED3" w14:textId="77777777" w:rsidR="00410459" w:rsidRPr="000B6313" w:rsidRDefault="00410459" w:rsidP="00410459">
            <w:pPr>
              <w:pStyle w:val="ListParagraph"/>
              <w:spacing w:after="0" w:line="240" w:lineRule="auto"/>
              <w:ind w:left="360"/>
              <w:rPr>
                <w:rFonts w:eastAsia="Arial"/>
              </w:rPr>
            </w:pPr>
          </w:p>
          <w:p w14:paraId="64842F28" w14:textId="4368D5D7" w:rsidR="3AF364E3" w:rsidRDefault="5F12AA39" w:rsidP="3AF364E3">
            <w:pPr>
              <w:pStyle w:val="ListParagraph"/>
              <w:numPr>
                <w:ilvl w:val="0"/>
                <w:numId w:val="3"/>
              </w:numPr>
            </w:pPr>
            <w:r w:rsidRPr="3AF364E3">
              <w:rPr>
                <w:u w:val="single"/>
              </w:rPr>
              <w:t>Service quality issues</w:t>
            </w:r>
            <w:r w:rsidR="00410459">
              <w:t xml:space="preserve">: </w:t>
            </w:r>
            <w:r w:rsidR="4F5A1C7A">
              <w:t>CQC</w:t>
            </w:r>
            <w:r w:rsidR="009C15F2">
              <w:t xml:space="preserve"> inspection</w:t>
            </w:r>
            <w:r w:rsidR="4F5A1C7A">
              <w:t xml:space="preserve"> ratings and the number of </w:t>
            </w:r>
            <w:r w:rsidR="38E36539">
              <w:t xml:space="preserve">local </w:t>
            </w:r>
            <w:r w:rsidR="4F5A1C7A">
              <w:t>service suspensions demonstrate</w:t>
            </w:r>
            <w:r w:rsidR="6B034921">
              <w:t>s</w:t>
            </w:r>
            <w:r w:rsidR="4F5A1C7A">
              <w:t xml:space="preserve"> an increase in quality concerns</w:t>
            </w:r>
            <w:r w:rsidR="0001322E">
              <w:t xml:space="preserve"> in Buckinghamshire</w:t>
            </w:r>
            <w:r w:rsidR="6E41426C">
              <w:t xml:space="preserve"> since the first quarter of 2021</w:t>
            </w:r>
            <w:r w:rsidR="25CAB047">
              <w:t xml:space="preserve">. </w:t>
            </w:r>
            <w:r w:rsidR="31C7BE6B">
              <w:t>We recognise that external pressures</w:t>
            </w:r>
            <w:r w:rsidR="009C15F2">
              <w:t>,</w:t>
            </w:r>
            <w:r w:rsidR="31C7BE6B">
              <w:t xml:space="preserve"> including managing the Covid-19 pandemic</w:t>
            </w:r>
            <w:r w:rsidR="00303E3A">
              <w:t xml:space="preserve"> and recruiting difficulties</w:t>
            </w:r>
            <w:r w:rsidR="31C7BE6B">
              <w:t xml:space="preserve"> will have impacted. </w:t>
            </w:r>
            <w:r w:rsidR="250CE9AB">
              <w:t>H</w:t>
            </w:r>
            <w:r w:rsidR="25CAB047" w:rsidRPr="3AF364E3">
              <w:rPr>
                <w:color w:val="000000" w:themeColor="text1"/>
              </w:rPr>
              <w:t>owever, this period also correlates to the introduction of the Council’s Concerns and Suspensions Procedure and the use of the PAMMS framework for monitoring providers</w:t>
            </w:r>
            <w:r w:rsidR="009C15F2" w:rsidRPr="3AF364E3">
              <w:rPr>
                <w:color w:val="000000" w:themeColor="text1"/>
              </w:rPr>
              <w:t xml:space="preserve">. As the Council has returned to routine monitoring after the restrictions of the pandemic, our view is that </w:t>
            </w:r>
            <w:r w:rsidR="000E6CA2" w:rsidRPr="3AF364E3">
              <w:rPr>
                <w:color w:val="000000" w:themeColor="text1"/>
              </w:rPr>
              <w:t>these new processes</w:t>
            </w:r>
            <w:r w:rsidR="009C15F2" w:rsidRPr="3AF364E3">
              <w:rPr>
                <w:color w:val="000000" w:themeColor="text1"/>
              </w:rPr>
              <w:t xml:space="preserve"> ha</w:t>
            </w:r>
            <w:r w:rsidR="000E6CA2" w:rsidRPr="3AF364E3">
              <w:rPr>
                <w:color w:val="000000" w:themeColor="text1"/>
              </w:rPr>
              <w:t>ve</w:t>
            </w:r>
            <w:r w:rsidR="009C15F2" w:rsidRPr="3AF364E3">
              <w:rPr>
                <w:color w:val="000000" w:themeColor="text1"/>
              </w:rPr>
              <w:t xml:space="preserve"> </w:t>
            </w:r>
            <w:r w:rsidR="25CAB047" w:rsidRPr="3AF364E3">
              <w:rPr>
                <w:color w:val="000000" w:themeColor="text1"/>
              </w:rPr>
              <w:t>led to improved identification</w:t>
            </w:r>
            <w:r w:rsidR="000E6CA2" w:rsidRPr="3AF364E3">
              <w:rPr>
                <w:color w:val="000000" w:themeColor="text1"/>
              </w:rPr>
              <w:t xml:space="preserve"> of concerns alongside</w:t>
            </w:r>
            <w:r w:rsidR="00195CB9" w:rsidRPr="3AF364E3">
              <w:rPr>
                <w:color w:val="000000" w:themeColor="text1"/>
              </w:rPr>
              <w:t xml:space="preserve"> more coordinated support for improvement. This means the data </w:t>
            </w:r>
            <w:r w:rsidR="4F5A1C7A">
              <w:t>may</w:t>
            </w:r>
            <w:r w:rsidR="5858A125">
              <w:t xml:space="preserve"> in part</w:t>
            </w:r>
            <w:r w:rsidR="4F5A1C7A">
              <w:t xml:space="preserve"> be </w:t>
            </w:r>
            <w:r w:rsidR="745D5EE3">
              <w:t>an outcome of increased oversight rather than a decline in quality</w:t>
            </w:r>
            <w:r w:rsidR="3087A4DB">
              <w:t>.</w:t>
            </w:r>
            <w:r w:rsidR="532A8720">
              <w:t xml:space="preserve"> The Council recognises that in addition to ensuring clients receive </w:t>
            </w:r>
            <w:r w:rsidR="3A2A6F7A">
              <w:t xml:space="preserve">high standards of care, </w:t>
            </w:r>
            <w:r w:rsidR="532A8720">
              <w:t xml:space="preserve">supporting providers to deliver quality services is </w:t>
            </w:r>
            <w:r w:rsidR="39697D4A">
              <w:t xml:space="preserve">also </w:t>
            </w:r>
            <w:r w:rsidR="532A8720">
              <w:t>a key factor in sustainability</w:t>
            </w:r>
            <w:r w:rsidR="008F2E3C">
              <w:t xml:space="preserve">. </w:t>
            </w:r>
            <w:r w:rsidR="00B671FD">
              <w:t>Table</w:t>
            </w:r>
            <w:r w:rsidR="0087754F">
              <w:t>s</w:t>
            </w:r>
            <w:r w:rsidR="00B671FD">
              <w:t xml:space="preserve"> 1</w:t>
            </w:r>
            <w:r w:rsidR="0087754F">
              <w:t xml:space="preserve"> and 2</w:t>
            </w:r>
            <w:r w:rsidR="00B671FD">
              <w:t xml:space="preserve"> provides an overview of CQC ratings for regulated</w:t>
            </w:r>
            <w:r w:rsidR="00297555">
              <w:t xml:space="preserve"> </w:t>
            </w:r>
            <w:r w:rsidR="6FB1A6F3">
              <w:t xml:space="preserve">care </w:t>
            </w:r>
            <w:r w:rsidR="00297555">
              <w:t xml:space="preserve">across the Buckinghamshire, </w:t>
            </w:r>
            <w:proofErr w:type="gramStart"/>
            <w:r w:rsidR="00297555">
              <w:t>Oxfordshire</w:t>
            </w:r>
            <w:proofErr w:type="gramEnd"/>
            <w:r w:rsidR="00297555">
              <w:t xml:space="preserve"> and Berkshire West Integrated Care Board</w:t>
            </w:r>
            <w:r w:rsidR="00B671FD">
              <w:t xml:space="preserve">. </w:t>
            </w:r>
            <w:r w:rsidR="550C039D">
              <w:t xml:space="preserve">The increased oversight and </w:t>
            </w:r>
            <w:r w:rsidR="49473B19">
              <w:t xml:space="preserve">communications with </w:t>
            </w:r>
            <w:r w:rsidR="49473B19">
              <w:lastRenderedPageBreak/>
              <w:t xml:space="preserve">CQC </w:t>
            </w:r>
            <w:r w:rsidR="550C039D">
              <w:t xml:space="preserve">may be increasing the pace of CQC inspections in providers of concern in Buckinghamshire </w:t>
            </w:r>
            <w:r w:rsidR="2F2BF82F">
              <w:t xml:space="preserve">and impacting on the lower rates of good and outstanding providers in Bucks. </w:t>
            </w:r>
            <w:r w:rsidR="00B671FD">
              <w:t>Figure 1 provides suspension</w:t>
            </w:r>
            <w:r w:rsidR="0087754F">
              <w:t xml:space="preserve"> trends</w:t>
            </w:r>
            <w:r w:rsidR="00B671FD">
              <w:t xml:space="preserve"> over time</w:t>
            </w:r>
            <w:r w:rsidR="00F46B49">
              <w:t xml:space="preserve"> for Buckinghamshire </w:t>
            </w:r>
            <w:r w:rsidR="39441AEF">
              <w:t>settings</w:t>
            </w:r>
            <w:r w:rsidR="00B671FD">
              <w:t>.</w:t>
            </w:r>
          </w:p>
          <w:p w14:paraId="06F134FF" w14:textId="04D12724" w:rsidR="0087732A" w:rsidRPr="000B6313" w:rsidRDefault="0087732A" w:rsidP="0087732A">
            <w:pPr>
              <w:rPr>
                <w:b/>
                <w:bCs/>
              </w:rPr>
            </w:pPr>
            <w:r w:rsidRPr="000B6313">
              <w:rPr>
                <w:b/>
                <w:bCs/>
              </w:rPr>
              <w:t xml:space="preserve">Table 1: Overview of CQC Ratings for </w:t>
            </w:r>
            <w:r w:rsidR="00F46B49">
              <w:rPr>
                <w:b/>
                <w:bCs/>
              </w:rPr>
              <w:t>BOB ICB</w:t>
            </w:r>
            <w:r w:rsidR="00F46B49" w:rsidRPr="000B6313">
              <w:rPr>
                <w:b/>
                <w:bCs/>
              </w:rPr>
              <w:t xml:space="preserve"> </w:t>
            </w:r>
            <w:r w:rsidRPr="000B6313">
              <w:rPr>
                <w:b/>
                <w:bCs/>
              </w:rPr>
              <w:t>Care Homes</w:t>
            </w:r>
            <w:r w:rsidR="007B20DF" w:rsidRPr="000B6313">
              <w:rPr>
                <w:b/>
                <w:bCs/>
              </w:rPr>
              <w:t xml:space="preserve"> (Nov 2022)</w:t>
            </w:r>
          </w:p>
          <w:tbl>
            <w:tblPr>
              <w:tblW w:w="9660" w:type="dxa"/>
              <w:tblLook w:val="04A0" w:firstRow="1" w:lastRow="0" w:firstColumn="1" w:lastColumn="0" w:noHBand="0" w:noVBand="1"/>
            </w:tblPr>
            <w:tblGrid>
              <w:gridCol w:w="3670"/>
              <w:gridCol w:w="1111"/>
              <w:gridCol w:w="1110"/>
              <w:gridCol w:w="1110"/>
              <w:gridCol w:w="1110"/>
              <w:gridCol w:w="1110"/>
            </w:tblGrid>
            <w:tr w:rsidR="000E68EA" w:rsidRPr="000E68EA" w14:paraId="0C8B9F2A" w14:textId="77777777" w:rsidTr="000E68EA">
              <w:trPr>
                <w:trHeight w:val="828"/>
              </w:trPr>
              <w:tc>
                <w:tcPr>
                  <w:tcW w:w="3860"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045909F4" w14:textId="77777777" w:rsidR="000E68EA" w:rsidRPr="000E68EA" w:rsidRDefault="000E68EA" w:rsidP="000E68EA">
                  <w:pPr>
                    <w:suppressAutoHyphens w:val="0"/>
                    <w:autoSpaceDN/>
                    <w:spacing w:after="0" w:line="240" w:lineRule="auto"/>
                    <w:textAlignment w:val="auto"/>
                    <w:rPr>
                      <w:rFonts w:ascii="Calibri" w:eastAsia="Times New Roman" w:hAnsi="Calibri" w:cs="Calibri"/>
                      <w:b/>
                      <w:bCs/>
                      <w:color w:val="000000"/>
                      <w:lang w:eastAsia="en-GB"/>
                    </w:rPr>
                  </w:pPr>
                  <w:r w:rsidRPr="000E68EA">
                    <w:rPr>
                      <w:rFonts w:ascii="Calibri" w:eastAsia="Times New Roman" w:hAnsi="Calibri" w:cs="Calibri"/>
                      <w:b/>
                      <w:bCs/>
                      <w:color w:val="000000"/>
                      <w:lang w:eastAsia="en-GB"/>
                    </w:rPr>
                    <w:t xml:space="preserve">% </w:t>
                  </w:r>
                  <w:proofErr w:type="gramStart"/>
                  <w:r w:rsidRPr="000E68EA">
                    <w:rPr>
                      <w:rFonts w:ascii="Calibri" w:eastAsia="Times New Roman" w:hAnsi="Calibri" w:cs="Calibri"/>
                      <w:b/>
                      <w:bCs/>
                      <w:color w:val="000000"/>
                      <w:lang w:eastAsia="en-GB"/>
                    </w:rPr>
                    <w:t>of</w:t>
                  </w:r>
                  <w:proofErr w:type="gramEnd"/>
                  <w:r w:rsidRPr="000E68EA">
                    <w:rPr>
                      <w:rFonts w:ascii="Calibri" w:eastAsia="Times New Roman" w:hAnsi="Calibri" w:cs="Calibri"/>
                      <w:b/>
                      <w:bCs/>
                      <w:color w:val="000000"/>
                      <w:lang w:eastAsia="en-GB"/>
                    </w:rPr>
                    <w:t xml:space="preserve"> those rated (care homes)</w:t>
                  </w:r>
                </w:p>
              </w:tc>
              <w:tc>
                <w:tcPr>
                  <w:tcW w:w="1160" w:type="dxa"/>
                  <w:tcBorders>
                    <w:top w:val="single" w:sz="4" w:space="0" w:color="D9D9D9"/>
                    <w:left w:val="nil"/>
                    <w:bottom w:val="nil"/>
                    <w:right w:val="single" w:sz="4" w:space="0" w:color="D9D9D9"/>
                  </w:tcBorders>
                  <w:shd w:val="clear" w:color="000000" w:fill="BF1000"/>
                  <w:vAlign w:val="center"/>
                  <w:hideMark/>
                </w:tcPr>
                <w:p w14:paraId="66DF8F55" w14:textId="77777777" w:rsidR="000E68EA" w:rsidRPr="000E68EA" w:rsidRDefault="000E68EA" w:rsidP="000E68EA">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0E68EA">
                    <w:rPr>
                      <w:rFonts w:ascii="Calibri" w:eastAsia="Times New Roman" w:hAnsi="Calibri" w:cs="Calibri"/>
                      <w:b/>
                      <w:bCs/>
                      <w:color w:val="FFFFFF"/>
                      <w:sz w:val="18"/>
                      <w:szCs w:val="18"/>
                      <w:lang w:eastAsia="en-GB"/>
                    </w:rPr>
                    <w:t>IA</w:t>
                  </w:r>
                </w:p>
              </w:tc>
              <w:tc>
                <w:tcPr>
                  <w:tcW w:w="1160" w:type="dxa"/>
                  <w:tcBorders>
                    <w:top w:val="single" w:sz="4" w:space="0" w:color="D9D9D9"/>
                    <w:left w:val="nil"/>
                    <w:bottom w:val="nil"/>
                    <w:right w:val="single" w:sz="4" w:space="0" w:color="D9D9D9"/>
                  </w:tcBorders>
                  <w:shd w:val="clear" w:color="000000" w:fill="FF9800"/>
                  <w:vAlign w:val="center"/>
                  <w:hideMark/>
                </w:tcPr>
                <w:p w14:paraId="298AAAD7" w14:textId="77777777" w:rsidR="000E68EA" w:rsidRPr="000E68EA" w:rsidRDefault="000E68EA" w:rsidP="000E68EA">
                  <w:pPr>
                    <w:suppressAutoHyphens w:val="0"/>
                    <w:autoSpaceDN/>
                    <w:spacing w:after="0" w:line="240" w:lineRule="auto"/>
                    <w:jc w:val="center"/>
                    <w:textAlignment w:val="auto"/>
                    <w:rPr>
                      <w:rFonts w:ascii="Calibri" w:eastAsia="Times New Roman" w:hAnsi="Calibri" w:cs="Calibri"/>
                      <w:b/>
                      <w:bCs/>
                      <w:color w:val="000000"/>
                      <w:sz w:val="18"/>
                      <w:szCs w:val="18"/>
                      <w:lang w:eastAsia="en-GB"/>
                    </w:rPr>
                  </w:pPr>
                  <w:r w:rsidRPr="000E68EA">
                    <w:rPr>
                      <w:rFonts w:ascii="Calibri" w:eastAsia="Times New Roman" w:hAnsi="Calibri" w:cs="Calibri"/>
                      <w:b/>
                      <w:bCs/>
                      <w:color w:val="000000"/>
                      <w:sz w:val="18"/>
                      <w:szCs w:val="18"/>
                      <w:lang w:eastAsia="en-GB"/>
                    </w:rPr>
                    <w:t>RI</w:t>
                  </w:r>
                </w:p>
              </w:tc>
              <w:tc>
                <w:tcPr>
                  <w:tcW w:w="1160" w:type="dxa"/>
                  <w:tcBorders>
                    <w:top w:val="single" w:sz="4" w:space="0" w:color="D9D9D9"/>
                    <w:left w:val="nil"/>
                    <w:bottom w:val="nil"/>
                    <w:right w:val="single" w:sz="4" w:space="0" w:color="D9D9D9"/>
                  </w:tcBorders>
                  <w:shd w:val="clear" w:color="000000" w:fill="458F00"/>
                  <w:vAlign w:val="center"/>
                  <w:hideMark/>
                </w:tcPr>
                <w:p w14:paraId="47C8B05A" w14:textId="77777777" w:rsidR="000E68EA" w:rsidRPr="000E68EA" w:rsidRDefault="000E68EA" w:rsidP="000E68EA">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0E68EA">
                    <w:rPr>
                      <w:rFonts w:ascii="Calibri" w:eastAsia="Times New Roman" w:hAnsi="Calibri" w:cs="Calibri"/>
                      <w:b/>
                      <w:bCs/>
                      <w:color w:val="FFFFFF"/>
                      <w:sz w:val="18"/>
                      <w:szCs w:val="18"/>
                      <w:lang w:eastAsia="en-GB"/>
                    </w:rPr>
                    <w:t>GO</w:t>
                  </w:r>
                </w:p>
              </w:tc>
              <w:tc>
                <w:tcPr>
                  <w:tcW w:w="1160" w:type="dxa"/>
                  <w:tcBorders>
                    <w:top w:val="single" w:sz="4" w:space="0" w:color="D9D9D9"/>
                    <w:left w:val="nil"/>
                    <w:bottom w:val="nil"/>
                    <w:right w:val="single" w:sz="4" w:space="0" w:color="D9D9D9"/>
                  </w:tcBorders>
                  <w:shd w:val="clear" w:color="000000" w:fill="1F4398"/>
                  <w:vAlign w:val="center"/>
                  <w:hideMark/>
                </w:tcPr>
                <w:p w14:paraId="79225A03" w14:textId="77777777" w:rsidR="000E68EA" w:rsidRPr="000E68EA" w:rsidRDefault="000E68EA" w:rsidP="000E68EA">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0E68EA">
                    <w:rPr>
                      <w:rFonts w:ascii="Calibri" w:eastAsia="Times New Roman" w:hAnsi="Calibri" w:cs="Calibri"/>
                      <w:b/>
                      <w:bCs/>
                      <w:color w:val="FFFFFF"/>
                      <w:sz w:val="18"/>
                      <w:szCs w:val="18"/>
                      <w:lang w:eastAsia="en-GB"/>
                    </w:rPr>
                    <w:t>OU</w:t>
                  </w:r>
                </w:p>
              </w:tc>
              <w:tc>
                <w:tcPr>
                  <w:tcW w:w="1160" w:type="dxa"/>
                  <w:tcBorders>
                    <w:top w:val="nil"/>
                    <w:left w:val="nil"/>
                    <w:bottom w:val="nil"/>
                    <w:right w:val="single" w:sz="4" w:space="0" w:color="D9D9D9"/>
                  </w:tcBorders>
                  <w:shd w:val="clear" w:color="000000" w:fill="808080"/>
                  <w:vAlign w:val="center"/>
                  <w:hideMark/>
                </w:tcPr>
                <w:p w14:paraId="35E425D1" w14:textId="77777777" w:rsidR="000E68EA" w:rsidRPr="000E68EA" w:rsidRDefault="000E68EA" w:rsidP="000E68EA">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0E68EA">
                    <w:rPr>
                      <w:rFonts w:ascii="Calibri" w:eastAsia="Times New Roman" w:hAnsi="Calibri" w:cs="Calibri"/>
                      <w:b/>
                      <w:bCs/>
                      <w:color w:val="FFFFFF"/>
                      <w:sz w:val="18"/>
                      <w:szCs w:val="18"/>
                      <w:lang w:eastAsia="en-GB"/>
                    </w:rPr>
                    <w:t>Insufficient evidence to rate</w:t>
                  </w:r>
                </w:p>
              </w:tc>
            </w:tr>
            <w:tr w:rsidR="000E68EA" w:rsidRPr="000E68EA" w14:paraId="0D008CEB" w14:textId="77777777" w:rsidTr="000E68EA">
              <w:trPr>
                <w:trHeight w:val="310"/>
              </w:trPr>
              <w:tc>
                <w:tcPr>
                  <w:tcW w:w="3860" w:type="dxa"/>
                  <w:tcBorders>
                    <w:top w:val="nil"/>
                    <w:left w:val="single" w:sz="4" w:space="0" w:color="A6A6A6"/>
                    <w:bottom w:val="single" w:sz="4" w:space="0" w:color="A6A6A6"/>
                    <w:right w:val="single" w:sz="4" w:space="0" w:color="A6A6A6"/>
                  </w:tcBorders>
                  <w:shd w:val="clear" w:color="000000" w:fill="DDEBF7"/>
                  <w:noWrap/>
                  <w:vAlign w:val="center"/>
                  <w:hideMark/>
                </w:tcPr>
                <w:p w14:paraId="6365D8BC" w14:textId="77777777" w:rsidR="000E68EA" w:rsidRPr="000E68EA" w:rsidRDefault="000E68EA" w:rsidP="000E68EA">
                  <w:pPr>
                    <w:suppressAutoHyphens w:val="0"/>
                    <w:autoSpaceDN/>
                    <w:spacing w:after="0" w:line="240" w:lineRule="auto"/>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Buckinghamshire</w:t>
                  </w:r>
                </w:p>
              </w:tc>
              <w:tc>
                <w:tcPr>
                  <w:tcW w:w="1160" w:type="dxa"/>
                  <w:tcBorders>
                    <w:top w:val="nil"/>
                    <w:left w:val="nil"/>
                    <w:bottom w:val="single" w:sz="4" w:space="0" w:color="A6A6A6"/>
                    <w:right w:val="single" w:sz="4" w:space="0" w:color="A6A6A6"/>
                  </w:tcBorders>
                  <w:shd w:val="clear" w:color="000000" w:fill="DDEBF7"/>
                  <w:noWrap/>
                  <w:vAlign w:val="center"/>
                  <w:hideMark/>
                </w:tcPr>
                <w:p w14:paraId="55389344"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7%</w:t>
                  </w:r>
                </w:p>
              </w:tc>
              <w:tc>
                <w:tcPr>
                  <w:tcW w:w="1160" w:type="dxa"/>
                  <w:tcBorders>
                    <w:top w:val="nil"/>
                    <w:left w:val="nil"/>
                    <w:bottom w:val="single" w:sz="4" w:space="0" w:color="A6A6A6"/>
                    <w:right w:val="single" w:sz="4" w:space="0" w:color="A6A6A6"/>
                  </w:tcBorders>
                  <w:shd w:val="clear" w:color="000000" w:fill="DDEBF7"/>
                  <w:noWrap/>
                  <w:vAlign w:val="center"/>
                  <w:hideMark/>
                </w:tcPr>
                <w:p w14:paraId="767671EA"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24%</w:t>
                  </w:r>
                </w:p>
              </w:tc>
              <w:tc>
                <w:tcPr>
                  <w:tcW w:w="1160" w:type="dxa"/>
                  <w:tcBorders>
                    <w:top w:val="nil"/>
                    <w:left w:val="nil"/>
                    <w:bottom w:val="single" w:sz="4" w:space="0" w:color="A6A6A6"/>
                    <w:right w:val="single" w:sz="4" w:space="0" w:color="A6A6A6"/>
                  </w:tcBorders>
                  <w:shd w:val="clear" w:color="000000" w:fill="DDEBF7"/>
                  <w:noWrap/>
                  <w:vAlign w:val="center"/>
                  <w:hideMark/>
                </w:tcPr>
                <w:p w14:paraId="38FD1286"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66%</w:t>
                  </w:r>
                </w:p>
              </w:tc>
              <w:tc>
                <w:tcPr>
                  <w:tcW w:w="1160" w:type="dxa"/>
                  <w:tcBorders>
                    <w:top w:val="nil"/>
                    <w:left w:val="nil"/>
                    <w:bottom w:val="single" w:sz="4" w:space="0" w:color="A6A6A6"/>
                    <w:right w:val="single" w:sz="4" w:space="0" w:color="A6A6A6"/>
                  </w:tcBorders>
                  <w:shd w:val="clear" w:color="000000" w:fill="DDEBF7"/>
                  <w:noWrap/>
                  <w:vAlign w:val="center"/>
                  <w:hideMark/>
                </w:tcPr>
                <w:p w14:paraId="5FBC638A"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3%</w:t>
                  </w:r>
                </w:p>
              </w:tc>
              <w:tc>
                <w:tcPr>
                  <w:tcW w:w="1160" w:type="dxa"/>
                  <w:tcBorders>
                    <w:top w:val="nil"/>
                    <w:left w:val="nil"/>
                    <w:bottom w:val="single" w:sz="4" w:space="0" w:color="A6A6A6"/>
                    <w:right w:val="single" w:sz="4" w:space="0" w:color="A6A6A6"/>
                  </w:tcBorders>
                  <w:shd w:val="clear" w:color="000000" w:fill="DDEBF7"/>
                  <w:noWrap/>
                  <w:vAlign w:val="center"/>
                  <w:hideMark/>
                </w:tcPr>
                <w:p w14:paraId="59437C33"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0%</w:t>
                  </w:r>
                </w:p>
              </w:tc>
            </w:tr>
            <w:tr w:rsidR="000E68EA" w:rsidRPr="000E68EA" w14:paraId="4AC38080" w14:textId="77777777" w:rsidTr="000E68EA">
              <w:trPr>
                <w:trHeight w:val="310"/>
              </w:trPr>
              <w:tc>
                <w:tcPr>
                  <w:tcW w:w="3860" w:type="dxa"/>
                  <w:tcBorders>
                    <w:top w:val="nil"/>
                    <w:left w:val="single" w:sz="4" w:space="0" w:color="A6A6A6"/>
                    <w:bottom w:val="single" w:sz="4" w:space="0" w:color="A6A6A6"/>
                    <w:right w:val="single" w:sz="4" w:space="0" w:color="A6A6A6"/>
                  </w:tcBorders>
                  <w:shd w:val="clear" w:color="auto" w:fill="auto"/>
                  <w:noWrap/>
                  <w:vAlign w:val="center"/>
                  <w:hideMark/>
                </w:tcPr>
                <w:p w14:paraId="692AC56C" w14:textId="77777777" w:rsidR="000E68EA" w:rsidRPr="000E68EA" w:rsidRDefault="000E68EA" w:rsidP="000E68EA">
                  <w:pPr>
                    <w:suppressAutoHyphens w:val="0"/>
                    <w:autoSpaceDN/>
                    <w:spacing w:after="0" w:line="240" w:lineRule="auto"/>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Oxfordshire</w:t>
                  </w:r>
                </w:p>
              </w:tc>
              <w:tc>
                <w:tcPr>
                  <w:tcW w:w="1160" w:type="dxa"/>
                  <w:tcBorders>
                    <w:top w:val="nil"/>
                    <w:left w:val="nil"/>
                    <w:bottom w:val="single" w:sz="4" w:space="0" w:color="A6A6A6"/>
                    <w:right w:val="single" w:sz="4" w:space="0" w:color="A6A6A6"/>
                  </w:tcBorders>
                  <w:shd w:val="clear" w:color="auto" w:fill="auto"/>
                  <w:noWrap/>
                  <w:vAlign w:val="center"/>
                  <w:hideMark/>
                </w:tcPr>
                <w:p w14:paraId="28E4A6F6"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0%</w:t>
                  </w:r>
                </w:p>
              </w:tc>
              <w:tc>
                <w:tcPr>
                  <w:tcW w:w="1160" w:type="dxa"/>
                  <w:tcBorders>
                    <w:top w:val="nil"/>
                    <w:left w:val="nil"/>
                    <w:bottom w:val="single" w:sz="4" w:space="0" w:color="A6A6A6"/>
                    <w:right w:val="single" w:sz="4" w:space="0" w:color="A6A6A6"/>
                  </w:tcBorders>
                  <w:shd w:val="clear" w:color="auto" w:fill="auto"/>
                  <w:noWrap/>
                  <w:vAlign w:val="center"/>
                  <w:hideMark/>
                </w:tcPr>
                <w:p w14:paraId="66E60654"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9%</w:t>
                  </w:r>
                </w:p>
              </w:tc>
              <w:tc>
                <w:tcPr>
                  <w:tcW w:w="1160" w:type="dxa"/>
                  <w:tcBorders>
                    <w:top w:val="nil"/>
                    <w:left w:val="nil"/>
                    <w:bottom w:val="single" w:sz="4" w:space="0" w:color="A6A6A6"/>
                    <w:right w:val="single" w:sz="4" w:space="0" w:color="A6A6A6"/>
                  </w:tcBorders>
                  <w:shd w:val="clear" w:color="auto" w:fill="auto"/>
                  <w:noWrap/>
                  <w:vAlign w:val="center"/>
                  <w:hideMark/>
                </w:tcPr>
                <w:p w14:paraId="218DB1FD"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81%</w:t>
                  </w:r>
                </w:p>
              </w:tc>
              <w:tc>
                <w:tcPr>
                  <w:tcW w:w="1160" w:type="dxa"/>
                  <w:tcBorders>
                    <w:top w:val="nil"/>
                    <w:left w:val="nil"/>
                    <w:bottom w:val="single" w:sz="4" w:space="0" w:color="A6A6A6"/>
                    <w:right w:val="single" w:sz="4" w:space="0" w:color="A6A6A6"/>
                  </w:tcBorders>
                  <w:shd w:val="clear" w:color="auto" w:fill="auto"/>
                  <w:noWrap/>
                  <w:vAlign w:val="center"/>
                  <w:hideMark/>
                </w:tcPr>
                <w:p w14:paraId="53F1F8D9"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10%</w:t>
                  </w:r>
                </w:p>
              </w:tc>
              <w:tc>
                <w:tcPr>
                  <w:tcW w:w="1160" w:type="dxa"/>
                  <w:tcBorders>
                    <w:top w:val="nil"/>
                    <w:left w:val="nil"/>
                    <w:bottom w:val="single" w:sz="4" w:space="0" w:color="A6A6A6"/>
                    <w:right w:val="single" w:sz="4" w:space="0" w:color="A6A6A6"/>
                  </w:tcBorders>
                  <w:shd w:val="clear" w:color="auto" w:fill="auto"/>
                  <w:noWrap/>
                  <w:vAlign w:val="center"/>
                  <w:hideMark/>
                </w:tcPr>
                <w:p w14:paraId="04E470AE"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0%</w:t>
                  </w:r>
                </w:p>
              </w:tc>
            </w:tr>
            <w:tr w:rsidR="000E68EA" w:rsidRPr="000E68EA" w14:paraId="3E9EB6C5" w14:textId="77777777" w:rsidTr="000E68EA">
              <w:trPr>
                <w:trHeight w:val="310"/>
              </w:trPr>
              <w:tc>
                <w:tcPr>
                  <w:tcW w:w="3860" w:type="dxa"/>
                  <w:tcBorders>
                    <w:top w:val="nil"/>
                    <w:left w:val="single" w:sz="4" w:space="0" w:color="A6A6A6"/>
                    <w:bottom w:val="single" w:sz="4" w:space="0" w:color="A6A6A6"/>
                    <w:right w:val="single" w:sz="4" w:space="0" w:color="A6A6A6"/>
                  </w:tcBorders>
                  <w:shd w:val="clear" w:color="auto" w:fill="auto"/>
                  <w:noWrap/>
                  <w:vAlign w:val="center"/>
                  <w:hideMark/>
                </w:tcPr>
                <w:p w14:paraId="49259EAB" w14:textId="77777777" w:rsidR="000E68EA" w:rsidRPr="000E68EA" w:rsidRDefault="000E68EA" w:rsidP="000E68EA">
                  <w:pPr>
                    <w:suppressAutoHyphens w:val="0"/>
                    <w:autoSpaceDN/>
                    <w:spacing w:after="0" w:line="240" w:lineRule="auto"/>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West Berkshire</w:t>
                  </w:r>
                </w:p>
              </w:tc>
              <w:tc>
                <w:tcPr>
                  <w:tcW w:w="1160" w:type="dxa"/>
                  <w:tcBorders>
                    <w:top w:val="nil"/>
                    <w:left w:val="nil"/>
                    <w:bottom w:val="single" w:sz="4" w:space="0" w:color="A6A6A6"/>
                    <w:right w:val="single" w:sz="4" w:space="0" w:color="A6A6A6"/>
                  </w:tcBorders>
                  <w:shd w:val="clear" w:color="auto" w:fill="auto"/>
                  <w:noWrap/>
                  <w:vAlign w:val="center"/>
                  <w:hideMark/>
                </w:tcPr>
                <w:p w14:paraId="4344DCBD"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0%</w:t>
                  </w:r>
                </w:p>
              </w:tc>
              <w:tc>
                <w:tcPr>
                  <w:tcW w:w="1160" w:type="dxa"/>
                  <w:tcBorders>
                    <w:top w:val="nil"/>
                    <w:left w:val="nil"/>
                    <w:bottom w:val="single" w:sz="4" w:space="0" w:color="A6A6A6"/>
                    <w:right w:val="single" w:sz="4" w:space="0" w:color="A6A6A6"/>
                  </w:tcBorders>
                  <w:shd w:val="clear" w:color="auto" w:fill="auto"/>
                  <w:noWrap/>
                  <w:vAlign w:val="center"/>
                  <w:hideMark/>
                </w:tcPr>
                <w:p w14:paraId="43D5179A"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9%</w:t>
                  </w:r>
                </w:p>
              </w:tc>
              <w:tc>
                <w:tcPr>
                  <w:tcW w:w="1160" w:type="dxa"/>
                  <w:tcBorders>
                    <w:top w:val="nil"/>
                    <w:left w:val="nil"/>
                    <w:bottom w:val="single" w:sz="4" w:space="0" w:color="A6A6A6"/>
                    <w:right w:val="single" w:sz="4" w:space="0" w:color="A6A6A6"/>
                  </w:tcBorders>
                  <w:shd w:val="clear" w:color="auto" w:fill="auto"/>
                  <w:noWrap/>
                  <w:vAlign w:val="center"/>
                  <w:hideMark/>
                </w:tcPr>
                <w:p w14:paraId="60F739B9"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88%</w:t>
                  </w:r>
                </w:p>
              </w:tc>
              <w:tc>
                <w:tcPr>
                  <w:tcW w:w="1160" w:type="dxa"/>
                  <w:tcBorders>
                    <w:top w:val="nil"/>
                    <w:left w:val="nil"/>
                    <w:bottom w:val="single" w:sz="4" w:space="0" w:color="A6A6A6"/>
                    <w:right w:val="single" w:sz="4" w:space="0" w:color="A6A6A6"/>
                  </w:tcBorders>
                  <w:shd w:val="clear" w:color="auto" w:fill="auto"/>
                  <w:noWrap/>
                  <w:vAlign w:val="center"/>
                  <w:hideMark/>
                </w:tcPr>
                <w:p w14:paraId="076E52B1"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2%</w:t>
                  </w:r>
                </w:p>
              </w:tc>
              <w:tc>
                <w:tcPr>
                  <w:tcW w:w="1160" w:type="dxa"/>
                  <w:tcBorders>
                    <w:top w:val="nil"/>
                    <w:left w:val="nil"/>
                    <w:bottom w:val="single" w:sz="4" w:space="0" w:color="A6A6A6"/>
                    <w:right w:val="single" w:sz="4" w:space="0" w:color="A6A6A6"/>
                  </w:tcBorders>
                  <w:shd w:val="clear" w:color="auto" w:fill="auto"/>
                  <w:noWrap/>
                  <w:vAlign w:val="center"/>
                  <w:hideMark/>
                </w:tcPr>
                <w:p w14:paraId="2E66F3AB" w14:textId="77777777" w:rsidR="000E68EA" w:rsidRPr="000E68EA" w:rsidRDefault="000E68EA" w:rsidP="000E68EA">
                  <w:pPr>
                    <w:suppressAutoHyphens w:val="0"/>
                    <w:autoSpaceDN/>
                    <w:spacing w:after="0" w:line="240" w:lineRule="auto"/>
                    <w:jc w:val="right"/>
                    <w:textAlignment w:val="auto"/>
                    <w:rPr>
                      <w:rFonts w:ascii="Calibri" w:eastAsia="Times New Roman" w:hAnsi="Calibri" w:cs="Calibri"/>
                      <w:color w:val="000000"/>
                      <w:lang w:eastAsia="en-GB"/>
                    </w:rPr>
                  </w:pPr>
                  <w:r w:rsidRPr="000E68EA">
                    <w:rPr>
                      <w:rFonts w:ascii="Calibri" w:eastAsia="Times New Roman" w:hAnsi="Calibri" w:cs="Calibri"/>
                      <w:color w:val="000000"/>
                      <w:lang w:eastAsia="en-GB"/>
                    </w:rPr>
                    <w:t>0%</w:t>
                  </w:r>
                </w:p>
              </w:tc>
            </w:tr>
          </w:tbl>
          <w:p w14:paraId="277AD1E7" w14:textId="4255AE4A" w:rsidR="00A457DA" w:rsidRPr="00E236EA" w:rsidRDefault="000E68EA" w:rsidP="00B671FD">
            <w:pPr>
              <w:rPr>
                <w:b/>
                <w:bCs/>
                <w:sz w:val="20"/>
                <w:szCs w:val="20"/>
              </w:rPr>
            </w:pPr>
            <w:r w:rsidRPr="000E68EA">
              <w:rPr>
                <w:b/>
                <w:bCs/>
                <w:sz w:val="20"/>
                <w:szCs w:val="20"/>
              </w:rPr>
              <w:t>(NB: This data includes all care homes, including those for working age adults</w:t>
            </w:r>
            <w:r w:rsidR="005F45B7">
              <w:rPr>
                <w:b/>
                <w:bCs/>
                <w:sz w:val="20"/>
                <w:szCs w:val="20"/>
              </w:rPr>
              <w:t xml:space="preserve"> and does not take account of uninspected settings</w:t>
            </w:r>
            <w:r w:rsidRPr="000E68EA">
              <w:rPr>
                <w:b/>
                <w:bCs/>
                <w:sz w:val="20"/>
                <w:szCs w:val="20"/>
              </w:rPr>
              <w:t>)</w:t>
            </w:r>
            <w:r w:rsidR="00E236EA">
              <w:rPr>
                <w:b/>
                <w:bCs/>
                <w:sz w:val="20"/>
                <w:szCs w:val="20"/>
              </w:rPr>
              <w:br/>
            </w:r>
          </w:p>
          <w:p w14:paraId="7FA3C1EA" w14:textId="3355D7C1" w:rsidR="00AB4056" w:rsidRPr="000B6313" w:rsidRDefault="0087732A" w:rsidP="00B671FD">
            <w:pPr>
              <w:rPr>
                <w:b/>
                <w:bCs/>
              </w:rPr>
            </w:pPr>
            <w:r w:rsidRPr="000B6313">
              <w:rPr>
                <w:b/>
                <w:bCs/>
              </w:rPr>
              <w:t>Table 2: Overview of CQC Ratings for Buckinghamshire Domiciliary Care Providers</w:t>
            </w:r>
            <w:r w:rsidR="007B20DF" w:rsidRPr="000B6313">
              <w:rPr>
                <w:b/>
                <w:bCs/>
              </w:rPr>
              <w:t xml:space="preserve"> (Nov 2022)</w:t>
            </w:r>
          </w:p>
          <w:tbl>
            <w:tblPr>
              <w:tblW w:w="9660" w:type="dxa"/>
              <w:tblLook w:val="04A0" w:firstRow="1" w:lastRow="0" w:firstColumn="1" w:lastColumn="0" w:noHBand="0" w:noVBand="1"/>
            </w:tblPr>
            <w:tblGrid>
              <w:gridCol w:w="3670"/>
              <w:gridCol w:w="1111"/>
              <w:gridCol w:w="1110"/>
              <w:gridCol w:w="1110"/>
              <w:gridCol w:w="1110"/>
              <w:gridCol w:w="1110"/>
            </w:tblGrid>
            <w:tr w:rsidR="001D140E" w:rsidRPr="001D140E" w14:paraId="577BF695" w14:textId="77777777" w:rsidTr="001D140E">
              <w:trPr>
                <w:trHeight w:val="740"/>
              </w:trPr>
              <w:tc>
                <w:tcPr>
                  <w:tcW w:w="38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B4C415F" w14:textId="77777777" w:rsidR="001D140E" w:rsidRPr="001D140E" w:rsidRDefault="001D140E" w:rsidP="001D140E">
                  <w:pPr>
                    <w:suppressAutoHyphens w:val="0"/>
                    <w:autoSpaceDN/>
                    <w:spacing w:after="0" w:line="240" w:lineRule="auto"/>
                    <w:textAlignment w:val="auto"/>
                    <w:rPr>
                      <w:rFonts w:ascii="Calibri" w:eastAsia="Times New Roman" w:hAnsi="Calibri" w:cs="Calibri"/>
                      <w:b/>
                      <w:bCs/>
                      <w:color w:val="000000"/>
                      <w:lang w:eastAsia="en-GB"/>
                    </w:rPr>
                  </w:pPr>
                  <w:r w:rsidRPr="001D140E">
                    <w:rPr>
                      <w:rFonts w:ascii="Calibri" w:eastAsia="Times New Roman" w:hAnsi="Calibri" w:cs="Calibri"/>
                      <w:b/>
                      <w:bCs/>
                      <w:color w:val="000000"/>
                      <w:lang w:eastAsia="en-GB"/>
                    </w:rPr>
                    <w:t xml:space="preserve">% </w:t>
                  </w:r>
                  <w:proofErr w:type="gramStart"/>
                  <w:r w:rsidRPr="001D140E">
                    <w:rPr>
                      <w:rFonts w:ascii="Calibri" w:eastAsia="Times New Roman" w:hAnsi="Calibri" w:cs="Calibri"/>
                      <w:b/>
                      <w:bCs/>
                      <w:color w:val="000000"/>
                      <w:lang w:eastAsia="en-GB"/>
                    </w:rPr>
                    <w:t>of</w:t>
                  </w:r>
                  <w:proofErr w:type="gramEnd"/>
                  <w:r w:rsidRPr="001D140E">
                    <w:rPr>
                      <w:rFonts w:ascii="Calibri" w:eastAsia="Times New Roman" w:hAnsi="Calibri" w:cs="Calibri"/>
                      <w:b/>
                      <w:bCs/>
                      <w:color w:val="000000"/>
                      <w:lang w:eastAsia="en-GB"/>
                    </w:rPr>
                    <w:t xml:space="preserve"> those rated (</w:t>
                  </w:r>
                  <w:proofErr w:type="spellStart"/>
                  <w:r w:rsidRPr="001D140E">
                    <w:rPr>
                      <w:rFonts w:ascii="Calibri" w:eastAsia="Times New Roman" w:hAnsi="Calibri" w:cs="Calibri"/>
                      <w:b/>
                      <w:bCs/>
                      <w:color w:val="000000"/>
                      <w:lang w:eastAsia="en-GB"/>
                    </w:rPr>
                    <w:t>dom</w:t>
                  </w:r>
                  <w:proofErr w:type="spellEnd"/>
                  <w:r w:rsidRPr="001D140E">
                    <w:rPr>
                      <w:rFonts w:ascii="Calibri" w:eastAsia="Times New Roman" w:hAnsi="Calibri" w:cs="Calibri"/>
                      <w:b/>
                      <w:bCs/>
                      <w:color w:val="000000"/>
                      <w:lang w:eastAsia="en-GB"/>
                    </w:rPr>
                    <w:t xml:space="preserve"> care (inc. extra care))</w:t>
                  </w:r>
                </w:p>
              </w:tc>
              <w:tc>
                <w:tcPr>
                  <w:tcW w:w="1160" w:type="dxa"/>
                  <w:tcBorders>
                    <w:top w:val="single" w:sz="4" w:space="0" w:color="D9D9D9"/>
                    <w:left w:val="nil"/>
                    <w:bottom w:val="nil"/>
                    <w:right w:val="single" w:sz="4" w:space="0" w:color="D9D9D9"/>
                  </w:tcBorders>
                  <w:shd w:val="clear" w:color="000000" w:fill="BF1000"/>
                  <w:vAlign w:val="center"/>
                  <w:hideMark/>
                </w:tcPr>
                <w:p w14:paraId="7774A4E3" w14:textId="77777777" w:rsidR="001D140E" w:rsidRPr="001D140E" w:rsidRDefault="001D140E" w:rsidP="001D140E">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1D140E">
                    <w:rPr>
                      <w:rFonts w:ascii="Calibri" w:eastAsia="Times New Roman" w:hAnsi="Calibri" w:cs="Calibri"/>
                      <w:b/>
                      <w:bCs/>
                      <w:color w:val="FFFFFF"/>
                      <w:sz w:val="18"/>
                      <w:szCs w:val="18"/>
                      <w:lang w:eastAsia="en-GB"/>
                    </w:rPr>
                    <w:t>IA</w:t>
                  </w:r>
                </w:p>
              </w:tc>
              <w:tc>
                <w:tcPr>
                  <w:tcW w:w="1160" w:type="dxa"/>
                  <w:tcBorders>
                    <w:top w:val="single" w:sz="4" w:space="0" w:color="D9D9D9"/>
                    <w:left w:val="nil"/>
                    <w:bottom w:val="nil"/>
                    <w:right w:val="single" w:sz="4" w:space="0" w:color="D9D9D9"/>
                  </w:tcBorders>
                  <w:shd w:val="clear" w:color="000000" w:fill="FF9800"/>
                  <w:vAlign w:val="center"/>
                  <w:hideMark/>
                </w:tcPr>
                <w:p w14:paraId="50E68E54" w14:textId="77777777" w:rsidR="001D140E" w:rsidRPr="001D140E" w:rsidRDefault="001D140E" w:rsidP="001D140E">
                  <w:pPr>
                    <w:suppressAutoHyphens w:val="0"/>
                    <w:autoSpaceDN/>
                    <w:spacing w:after="0" w:line="240" w:lineRule="auto"/>
                    <w:jc w:val="center"/>
                    <w:textAlignment w:val="auto"/>
                    <w:rPr>
                      <w:rFonts w:ascii="Calibri" w:eastAsia="Times New Roman" w:hAnsi="Calibri" w:cs="Calibri"/>
                      <w:b/>
                      <w:bCs/>
                      <w:color w:val="000000"/>
                      <w:sz w:val="18"/>
                      <w:szCs w:val="18"/>
                      <w:lang w:eastAsia="en-GB"/>
                    </w:rPr>
                  </w:pPr>
                  <w:r w:rsidRPr="001D140E">
                    <w:rPr>
                      <w:rFonts w:ascii="Calibri" w:eastAsia="Times New Roman" w:hAnsi="Calibri" w:cs="Calibri"/>
                      <w:b/>
                      <w:bCs/>
                      <w:color w:val="000000"/>
                      <w:sz w:val="18"/>
                      <w:szCs w:val="18"/>
                      <w:lang w:eastAsia="en-GB"/>
                    </w:rPr>
                    <w:t>RI</w:t>
                  </w:r>
                </w:p>
              </w:tc>
              <w:tc>
                <w:tcPr>
                  <w:tcW w:w="1160" w:type="dxa"/>
                  <w:tcBorders>
                    <w:top w:val="single" w:sz="4" w:space="0" w:color="D9D9D9"/>
                    <w:left w:val="nil"/>
                    <w:bottom w:val="nil"/>
                    <w:right w:val="single" w:sz="4" w:space="0" w:color="D9D9D9"/>
                  </w:tcBorders>
                  <w:shd w:val="clear" w:color="000000" w:fill="458F00"/>
                  <w:vAlign w:val="center"/>
                  <w:hideMark/>
                </w:tcPr>
                <w:p w14:paraId="37EEFBB7" w14:textId="77777777" w:rsidR="001D140E" w:rsidRPr="001D140E" w:rsidRDefault="001D140E" w:rsidP="001D140E">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1D140E">
                    <w:rPr>
                      <w:rFonts w:ascii="Calibri" w:eastAsia="Times New Roman" w:hAnsi="Calibri" w:cs="Calibri"/>
                      <w:b/>
                      <w:bCs/>
                      <w:color w:val="FFFFFF"/>
                      <w:sz w:val="18"/>
                      <w:szCs w:val="18"/>
                      <w:lang w:eastAsia="en-GB"/>
                    </w:rPr>
                    <w:t>GO</w:t>
                  </w:r>
                </w:p>
              </w:tc>
              <w:tc>
                <w:tcPr>
                  <w:tcW w:w="1160" w:type="dxa"/>
                  <w:tcBorders>
                    <w:top w:val="single" w:sz="4" w:space="0" w:color="D9D9D9"/>
                    <w:left w:val="nil"/>
                    <w:bottom w:val="nil"/>
                    <w:right w:val="single" w:sz="4" w:space="0" w:color="D9D9D9"/>
                  </w:tcBorders>
                  <w:shd w:val="clear" w:color="000000" w:fill="1F4398"/>
                  <w:vAlign w:val="center"/>
                  <w:hideMark/>
                </w:tcPr>
                <w:p w14:paraId="663B7518" w14:textId="77777777" w:rsidR="001D140E" w:rsidRPr="001D140E" w:rsidRDefault="001D140E" w:rsidP="001D140E">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1D140E">
                    <w:rPr>
                      <w:rFonts w:ascii="Calibri" w:eastAsia="Times New Roman" w:hAnsi="Calibri" w:cs="Calibri"/>
                      <w:b/>
                      <w:bCs/>
                      <w:color w:val="FFFFFF"/>
                      <w:sz w:val="18"/>
                      <w:szCs w:val="18"/>
                      <w:lang w:eastAsia="en-GB"/>
                    </w:rPr>
                    <w:t>OU</w:t>
                  </w:r>
                </w:p>
              </w:tc>
              <w:tc>
                <w:tcPr>
                  <w:tcW w:w="1160" w:type="dxa"/>
                  <w:tcBorders>
                    <w:top w:val="nil"/>
                    <w:left w:val="nil"/>
                    <w:bottom w:val="nil"/>
                    <w:right w:val="single" w:sz="4" w:space="0" w:color="D9D9D9"/>
                  </w:tcBorders>
                  <w:shd w:val="clear" w:color="000000" w:fill="808080"/>
                  <w:vAlign w:val="center"/>
                  <w:hideMark/>
                </w:tcPr>
                <w:p w14:paraId="1207FCDA" w14:textId="77777777" w:rsidR="001D140E" w:rsidRPr="001D140E" w:rsidRDefault="001D140E" w:rsidP="001D140E">
                  <w:pPr>
                    <w:suppressAutoHyphens w:val="0"/>
                    <w:autoSpaceDN/>
                    <w:spacing w:after="0" w:line="240" w:lineRule="auto"/>
                    <w:jc w:val="center"/>
                    <w:textAlignment w:val="auto"/>
                    <w:rPr>
                      <w:rFonts w:ascii="Calibri" w:eastAsia="Times New Roman" w:hAnsi="Calibri" w:cs="Calibri"/>
                      <w:b/>
                      <w:bCs/>
                      <w:color w:val="FFFFFF"/>
                      <w:sz w:val="18"/>
                      <w:szCs w:val="18"/>
                      <w:lang w:eastAsia="en-GB"/>
                    </w:rPr>
                  </w:pPr>
                  <w:r w:rsidRPr="001D140E">
                    <w:rPr>
                      <w:rFonts w:ascii="Calibri" w:eastAsia="Times New Roman" w:hAnsi="Calibri" w:cs="Calibri"/>
                      <w:b/>
                      <w:bCs/>
                      <w:color w:val="FFFFFF"/>
                      <w:sz w:val="18"/>
                      <w:szCs w:val="18"/>
                      <w:lang w:eastAsia="en-GB"/>
                    </w:rPr>
                    <w:t>Insufficient evidence to rate</w:t>
                  </w:r>
                </w:p>
              </w:tc>
            </w:tr>
            <w:tr w:rsidR="001D140E" w:rsidRPr="001D140E" w14:paraId="488E3891" w14:textId="77777777" w:rsidTr="001D140E">
              <w:trPr>
                <w:trHeight w:val="310"/>
              </w:trPr>
              <w:tc>
                <w:tcPr>
                  <w:tcW w:w="3860" w:type="dxa"/>
                  <w:tcBorders>
                    <w:top w:val="nil"/>
                    <w:left w:val="single" w:sz="4" w:space="0" w:color="A6A6A6"/>
                    <w:bottom w:val="single" w:sz="4" w:space="0" w:color="A6A6A6"/>
                    <w:right w:val="single" w:sz="4" w:space="0" w:color="A6A6A6"/>
                  </w:tcBorders>
                  <w:shd w:val="clear" w:color="000000" w:fill="DDEBF7"/>
                  <w:noWrap/>
                  <w:vAlign w:val="center"/>
                  <w:hideMark/>
                </w:tcPr>
                <w:p w14:paraId="49AFA598" w14:textId="77777777" w:rsidR="001D140E" w:rsidRPr="001D140E" w:rsidRDefault="001D140E" w:rsidP="001D140E">
                  <w:pPr>
                    <w:suppressAutoHyphens w:val="0"/>
                    <w:autoSpaceDN/>
                    <w:spacing w:after="0" w:line="240" w:lineRule="auto"/>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Buckinghamshire</w:t>
                  </w:r>
                </w:p>
              </w:tc>
              <w:tc>
                <w:tcPr>
                  <w:tcW w:w="1160" w:type="dxa"/>
                  <w:tcBorders>
                    <w:top w:val="nil"/>
                    <w:left w:val="nil"/>
                    <w:bottom w:val="single" w:sz="4" w:space="0" w:color="A6A6A6"/>
                    <w:right w:val="single" w:sz="4" w:space="0" w:color="A6A6A6"/>
                  </w:tcBorders>
                  <w:shd w:val="clear" w:color="000000" w:fill="DDEBF7"/>
                  <w:noWrap/>
                  <w:vAlign w:val="center"/>
                  <w:hideMark/>
                </w:tcPr>
                <w:p w14:paraId="72708E89"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3%</w:t>
                  </w:r>
                </w:p>
              </w:tc>
              <w:tc>
                <w:tcPr>
                  <w:tcW w:w="1160" w:type="dxa"/>
                  <w:tcBorders>
                    <w:top w:val="nil"/>
                    <w:left w:val="nil"/>
                    <w:bottom w:val="single" w:sz="4" w:space="0" w:color="A6A6A6"/>
                    <w:right w:val="single" w:sz="4" w:space="0" w:color="A6A6A6"/>
                  </w:tcBorders>
                  <w:shd w:val="clear" w:color="000000" w:fill="DDEBF7"/>
                  <w:noWrap/>
                  <w:vAlign w:val="center"/>
                  <w:hideMark/>
                </w:tcPr>
                <w:p w14:paraId="63190133"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24%</w:t>
                  </w:r>
                </w:p>
              </w:tc>
              <w:tc>
                <w:tcPr>
                  <w:tcW w:w="1160" w:type="dxa"/>
                  <w:tcBorders>
                    <w:top w:val="nil"/>
                    <w:left w:val="nil"/>
                    <w:bottom w:val="single" w:sz="4" w:space="0" w:color="A6A6A6"/>
                    <w:right w:val="single" w:sz="4" w:space="0" w:color="A6A6A6"/>
                  </w:tcBorders>
                  <w:shd w:val="clear" w:color="000000" w:fill="DDEBF7"/>
                  <w:noWrap/>
                  <w:vAlign w:val="center"/>
                  <w:hideMark/>
                </w:tcPr>
                <w:p w14:paraId="514FDCDD"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67%</w:t>
                  </w:r>
                </w:p>
              </w:tc>
              <w:tc>
                <w:tcPr>
                  <w:tcW w:w="1160" w:type="dxa"/>
                  <w:tcBorders>
                    <w:top w:val="nil"/>
                    <w:left w:val="nil"/>
                    <w:bottom w:val="single" w:sz="4" w:space="0" w:color="A6A6A6"/>
                    <w:right w:val="single" w:sz="4" w:space="0" w:color="A6A6A6"/>
                  </w:tcBorders>
                  <w:shd w:val="clear" w:color="000000" w:fill="DDEBF7"/>
                  <w:noWrap/>
                  <w:vAlign w:val="center"/>
                  <w:hideMark/>
                </w:tcPr>
                <w:p w14:paraId="7FD8F43B"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6%</w:t>
                  </w:r>
                </w:p>
              </w:tc>
              <w:tc>
                <w:tcPr>
                  <w:tcW w:w="1160" w:type="dxa"/>
                  <w:tcBorders>
                    <w:top w:val="nil"/>
                    <w:left w:val="nil"/>
                    <w:bottom w:val="single" w:sz="4" w:space="0" w:color="A6A6A6"/>
                    <w:right w:val="single" w:sz="4" w:space="0" w:color="A6A6A6"/>
                  </w:tcBorders>
                  <w:shd w:val="clear" w:color="000000" w:fill="DDEBF7"/>
                  <w:noWrap/>
                  <w:vAlign w:val="center"/>
                  <w:hideMark/>
                </w:tcPr>
                <w:p w14:paraId="411E757E"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0%</w:t>
                  </w:r>
                </w:p>
              </w:tc>
            </w:tr>
            <w:tr w:rsidR="001D140E" w:rsidRPr="001D140E" w14:paraId="3EC78954" w14:textId="77777777" w:rsidTr="001D140E">
              <w:trPr>
                <w:trHeight w:val="310"/>
              </w:trPr>
              <w:tc>
                <w:tcPr>
                  <w:tcW w:w="3860" w:type="dxa"/>
                  <w:tcBorders>
                    <w:top w:val="nil"/>
                    <w:left w:val="single" w:sz="4" w:space="0" w:color="A6A6A6"/>
                    <w:bottom w:val="single" w:sz="4" w:space="0" w:color="A6A6A6"/>
                    <w:right w:val="single" w:sz="4" w:space="0" w:color="A6A6A6"/>
                  </w:tcBorders>
                  <w:shd w:val="clear" w:color="auto" w:fill="auto"/>
                  <w:noWrap/>
                  <w:vAlign w:val="center"/>
                  <w:hideMark/>
                </w:tcPr>
                <w:p w14:paraId="131CEBB2" w14:textId="77777777" w:rsidR="001D140E" w:rsidRPr="001D140E" w:rsidRDefault="001D140E" w:rsidP="001D140E">
                  <w:pPr>
                    <w:suppressAutoHyphens w:val="0"/>
                    <w:autoSpaceDN/>
                    <w:spacing w:after="0" w:line="240" w:lineRule="auto"/>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Oxfordshire</w:t>
                  </w:r>
                </w:p>
              </w:tc>
              <w:tc>
                <w:tcPr>
                  <w:tcW w:w="1160" w:type="dxa"/>
                  <w:tcBorders>
                    <w:top w:val="nil"/>
                    <w:left w:val="nil"/>
                    <w:bottom w:val="single" w:sz="4" w:space="0" w:color="A6A6A6"/>
                    <w:right w:val="single" w:sz="4" w:space="0" w:color="A6A6A6"/>
                  </w:tcBorders>
                  <w:shd w:val="clear" w:color="auto" w:fill="auto"/>
                  <w:noWrap/>
                  <w:vAlign w:val="center"/>
                  <w:hideMark/>
                </w:tcPr>
                <w:p w14:paraId="578AB70C"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1%</w:t>
                  </w:r>
                </w:p>
              </w:tc>
              <w:tc>
                <w:tcPr>
                  <w:tcW w:w="1160" w:type="dxa"/>
                  <w:tcBorders>
                    <w:top w:val="nil"/>
                    <w:left w:val="nil"/>
                    <w:bottom w:val="single" w:sz="4" w:space="0" w:color="A6A6A6"/>
                    <w:right w:val="single" w:sz="4" w:space="0" w:color="A6A6A6"/>
                  </w:tcBorders>
                  <w:shd w:val="clear" w:color="auto" w:fill="auto"/>
                  <w:noWrap/>
                  <w:vAlign w:val="center"/>
                  <w:hideMark/>
                </w:tcPr>
                <w:p w14:paraId="7F9D27B7"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10%</w:t>
                  </w:r>
                </w:p>
              </w:tc>
              <w:tc>
                <w:tcPr>
                  <w:tcW w:w="1160" w:type="dxa"/>
                  <w:tcBorders>
                    <w:top w:val="nil"/>
                    <w:left w:val="nil"/>
                    <w:bottom w:val="single" w:sz="4" w:space="0" w:color="A6A6A6"/>
                    <w:right w:val="single" w:sz="4" w:space="0" w:color="A6A6A6"/>
                  </w:tcBorders>
                  <w:shd w:val="clear" w:color="auto" w:fill="auto"/>
                  <w:noWrap/>
                  <w:vAlign w:val="center"/>
                  <w:hideMark/>
                </w:tcPr>
                <w:p w14:paraId="4B0987F3"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79%</w:t>
                  </w:r>
                </w:p>
              </w:tc>
              <w:tc>
                <w:tcPr>
                  <w:tcW w:w="1160" w:type="dxa"/>
                  <w:tcBorders>
                    <w:top w:val="nil"/>
                    <w:left w:val="nil"/>
                    <w:bottom w:val="single" w:sz="4" w:space="0" w:color="A6A6A6"/>
                    <w:right w:val="single" w:sz="4" w:space="0" w:color="A6A6A6"/>
                  </w:tcBorders>
                  <w:shd w:val="clear" w:color="auto" w:fill="auto"/>
                  <w:noWrap/>
                  <w:vAlign w:val="center"/>
                  <w:hideMark/>
                </w:tcPr>
                <w:p w14:paraId="47B1417B"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11%</w:t>
                  </w:r>
                </w:p>
              </w:tc>
              <w:tc>
                <w:tcPr>
                  <w:tcW w:w="1160" w:type="dxa"/>
                  <w:tcBorders>
                    <w:top w:val="nil"/>
                    <w:left w:val="nil"/>
                    <w:bottom w:val="single" w:sz="4" w:space="0" w:color="A6A6A6"/>
                    <w:right w:val="single" w:sz="4" w:space="0" w:color="A6A6A6"/>
                  </w:tcBorders>
                  <w:shd w:val="clear" w:color="auto" w:fill="auto"/>
                  <w:noWrap/>
                  <w:vAlign w:val="center"/>
                  <w:hideMark/>
                </w:tcPr>
                <w:p w14:paraId="7629DB1B"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0%</w:t>
                  </w:r>
                </w:p>
              </w:tc>
            </w:tr>
            <w:tr w:rsidR="001D140E" w:rsidRPr="001D140E" w14:paraId="5E47281A" w14:textId="77777777" w:rsidTr="001D140E">
              <w:trPr>
                <w:trHeight w:val="310"/>
              </w:trPr>
              <w:tc>
                <w:tcPr>
                  <w:tcW w:w="3860" w:type="dxa"/>
                  <w:tcBorders>
                    <w:top w:val="nil"/>
                    <w:left w:val="single" w:sz="4" w:space="0" w:color="A6A6A6"/>
                    <w:bottom w:val="single" w:sz="4" w:space="0" w:color="A6A6A6"/>
                    <w:right w:val="single" w:sz="4" w:space="0" w:color="A6A6A6"/>
                  </w:tcBorders>
                  <w:shd w:val="clear" w:color="auto" w:fill="auto"/>
                  <w:noWrap/>
                  <w:vAlign w:val="center"/>
                  <w:hideMark/>
                </w:tcPr>
                <w:p w14:paraId="07EC325C" w14:textId="77777777" w:rsidR="001D140E" w:rsidRPr="001D140E" w:rsidRDefault="001D140E" w:rsidP="001D140E">
                  <w:pPr>
                    <w:suppressAutoHyphens w:val="0"/>
                    <w:autoSpaceDN/>
                    <w:spacing w:after="0" w:line="240" w:lineRule="auto"/>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West Berkshire</w:t>
                  </w:r>
                </w:p>
              </w:tc>
              <w:tc>
                <w:tcPr>
                  <w:tcW w:w="1160" w:type="dxa"/>
                  <w:tcBorders>
                    <w:top w:val="nil"/>
                    <w:left w:val="nil"/>
                    <w:bottom w:val="single" w:sz="4" w:space="0" w:color="A6A6A6"/>
                    <w:right w:val="single" w:sz="4" w:space="0" w:color="A6A6A6"/>
                  </w:tcBorders>
                  <w:shd w:val="clear" w:color="auto" w:fill="auto"/>
                  <w:noWrap/>
                  <w:vAlign w:val="center"/>
                  <w:hideMark/>
                </w:tcPr>
                <w:p w14:paraId="0B54BAE8"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0%</w:t>
                  </w:r>
                </w:p>
              </w:tc>
              <w:tc>
                <w:tcPr>
                  <w:tcW w:w="1160" w:type="dxa"/>
                  <w:tcBorders>
                    <w:top w:val="nil"/>
                    <w:left w:val="nil"/>
                    <w:bottom w:val="single" w:sz="4" w:space="0" w:color="A6A6A6"/>
                    <w:right w:val="single" w:sz="4" w:space="0" w:color="A6A6A6"/>
                  </w:tcBorders>
                  <w:shd w:val="clear" w:color="auto" w:fill="auto"/>
                  <w:noWrap/>
                  <w:vAlign w:val="center"/>
                  <w:hideMark/>
                </w:tcPr>
                <w:p w14:paraId="4C9314B2"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8%</w:t>
                  </w:r>
                </w:p>
              </w:tc>
              <w:tc>
                <w:tcPr>
                  <w:tcW w:w="1160" w:type="dxa"/>
                  <w:tcBorders>
                    <w:top w:val="nil"/>
                    <w:left w:val="nil"/>
                    <w:bottom w:val="single" w:sz="4" w:space="0" w:color="A6A6A6"/>
                    <w:right w:val="single" w:sz="4" w:space="0" w:color="A6A6A6"/>
                  </w:tcBorders>
                  <w:shd w:val="clear" w:color="auto" w:fill="auto"/>
                  <w:noWrap/>
                  <w:vAlign w:val="center"/>
                  <w:hideMark/>
                </w:tcPr>
                <w:p w14:paraId="418DD644"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92%</w:t>
                  </w:r>
                </w:p>
              </w:tc>
              <w:tc>
                <w:tcPr>
                  <w:tcW w:w="1160" w:type="dxa"/>
                  <w:tcBorders>
                    <w:top w:val="nil"/>
                    <w:left w:val="nil"/>
                    <w:bottom w:val="single" w:sz="4" w:space="0" w:color="A6A6A6"/>
                    <w:right w:val="single" w:sz="4" w:space="0" w:color="A6A6A6"/>
                  </w:tcBorders>
                  <w:shd w:val="clear" w:color="auto" w:fill="auto"/>
                  <w:noWrap/>
                  <w:vAlign w:val="center"/>
                  <w:hideMark/>
                </w:tcPr>
                <w:p w14:paraId="7961D43A"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0%</w:t>
                  </w:r>
                </w:p>
              </w:tc>
              <w:tc>
                <w:tcPr>
                  <w:tcW w:w="1160" w:type="dxa"/>
                  <w:tcBorders>
                    <w:top w:val="nil"/>
                    <w:left w:val="nil"/>
                    <w:bottom w:val="single" w:sz="4" w:space="0" w:color="A6A6A6"/>
                    <w:right w:val="single" w:sz="4" w:space="0" w:color="A6A6A6"/>
                  </w:tcBorders>
                  <w:shd w:val="clear" w:color="auto" w:fill="auto"/>
                  <w:noWrap/>
                  <w:vAlign w:val="center"/>
                  <w:hideMark/>
                </w:tcPr>
                <w:p w14:paraId="3917B9FE" w14:textId="77777777" w:rsidR="001D140E" w:rsidRPr="001D140E" w:rsidRDefault="001D140E" w:rsidP="001D140E">
                  <w:pPr>
                    <w:suppressAutoHyphens w:val="0"/>
                    <w:autoSpaceDN/>
                    <w:spacing w:after="0" w:line="240" w:lineRule="auto"/>
                    <w:jc w:val="right"/>
                    <w:textAlignment w:val="auto"/>
                    <w:rPr>
                      <w:rFonts w:ascii="Calibri" w:eastAsia="Times New Roman" w:hAnsi="Calibri" w:cs="Calibri"/>
                      <w:color w:val="000000"/>
                      <w:lang w:eastAsia="en-GB"/>
                    </w:rPr>
                  </w:pPr>
                  <w:r w:rsidRPr="001D140E">
                    <w:rPr>
                      <w:rFonts w:ascii="Calibri" w:eastAsia="Times New Roman" w:hAnsi="Calibri" w:cs="Calibri"/>
                      <w:color w:val="000000"/>
                      <w:lang w:eastAsia="en-GB"/>
                    </w:rPr>
                    <w:t>0%</w:t>
                  </w:r>
                </w:p>
              </w:tc>
            </w:tr>
          </w:tbl>
          <w:p w14:paraId="6F8502D0" w14:textId="0FAAFB0A" w:rsidR="00301FE5" w:rsidRDefault="005F45B7" w:rsidP="00B671FD">
            <w:pPr>
              <w:rPr>
                <w:b/>
                <w:bCs/>
              </w:rPr>
            </w:pPr>
            <w:r w:rsidRPr="000E68EA">
              <w:rPr>
                <w:b/>
                <w:bCs/>
                <w:sz w:val="20"/>
                <w:szCs w:val="20"/>
              </w:rPr>
              <w:t xml:space="preserve">(NB: This data </w:t>
            </w:r>
            <w:r w:rsidR="00D8598A">
              <w:rPr>
                <w:b/>
                <w:bCs/>
                <w:sz w:val="20"/>
                <w:szCs w:val="20"/>
              </w:rPr>
              <w:t>does not take account of uninspected home care providers</w:t>
            </w:r>
            <w:r w:rsidRPr="000E68EA">
              <w:rPr>
                <w:b/>
                <w:bCs/>
                <w:sz w:val="20"/>
                <w:szCs w:val="20"/>
              </w:rPr>
              <w:t>)</w:t>
            </w:r>
          </w:p>
          <w:p w14:paraId="14F682E5" w14:textId="47890B58" w:rsidR="00B671FD" w:rsidRPr="000B6313" w:rsidRDefault="00EF1759" w:rsidP="00B671FD">
            <w:pPr>
              <w:rPr>
                <w:b/>
                <w:bCs/>
              </w:rPr>
            </w:pPr>
            <w:r w:rsidRPr="000B6313">
              <w:rPr>
                <w:b/>
                <w:bCs/>
              </w:rPr>
              <w:t>Figure 1: Local Suspensions</w:t>
            </w:r>
            <w:r w:rsidR="00AE65B8" w:rsidRPr="000B6313">
              <w:rPr>
                <w:b/>
                <w:bCs/>
              </w:rPr>
              <w:t xml:space="preserve"> for Services Commissioned by Buckinghamshire Council</w:t>
            </w:r>
          </w:p>
          <w:p w14:paraId="094378BD" w14:textId="22DCC9D1" w:rsidR="00591155" w:rsidRPr="000B6313" w:rsidRDefault="00210BB0" w:rsidP="00591155">
            <w:r w:rsidRPr="000B6313">
              <w:rPr>
                <w:noProof/>
              </w:rPr>
              <w:drawing>
                <wp:inline distT="0" distB="0" distL="0" distR="0" wp14:anchorId="79F4A86A" wp14:editId="3FB551DC">
                  <wp:extent cx="5651500" cy="3143250"/>
                  <wp:effectExtent l="0" t="0" r="6350" b="0"/>
                  <wp:docPr id="1" name="Chart 1">
                    <a:extLst xmlns:a="http://schemas.openxmlformats.org/drawingml/2006/main">
                      <a:ext uri="{FF2B5EF4-FFF2-40B4-BE49-F238E27FC236}">
                        <a16:creationId xmlns:a16="http://schemas.microsoft.com/office/drawing/2014/main" id="{87BD58CF-AF0A-4D0C-A8C0-03CCB5957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2E49AB" w14:textId="369F1EBD" w:rsidR="00C43321" w:rsidRPr="00796EA1" w:rsidRDefault="00796EA1" w:rsidP="00C43321">
            <w:pPr>
              <w:pStyle w:val="ListParagraph"/>
              <w:ind w:left="360"/>
              <w:rPr>
                <w:b/>
                <w:bCs/>
                <w:sz w:val="20"/>
                <w:szCs w:val="20"/>
              </w:rPr>
            </w:pPr>
            <w:r w:rsidRPr="00796EA1">
              <w:rPr>
                <w:b/>
                <w:bCs/>
                <w:sz w:val="20"/>
                <w:szCs w:val="20"/>
              </w:rPr>
              <w:t xml:space="preserve">(NB: </w:t>
            </w:r>
            <w:r w:rsidR="007F0520" w:rsidRPr="00796EA1">
              <w:rPr>
                <w:b/>
                <w:bCs/>
                <w:sz w:val="20"/>
                <w:szCs w:val="20"/>
              </w:rPr>
              <w:t xml:space="preserve">The suspensions data also includes working age </w:t>
            </w:r>
            <w:r w:rsidR="00E02C4E" w:rsidRPr="00796EA1">
              <w:rPr>
                <w:b/>
                <w:bCs/>
                <w:sz w:val="20"/>
                <w:szCs w:val="20"/>
              </w:rPr>
              <w:t xml:space="preserve">care </w:t>
            </w:r>
            <w:proofErr w:type="gramStart"/>
            <w:r w:rsidR="00E02C4E" w:rsidRPr="00796EA1">
              <w:rPr>
                <w:b/>
                <w:bCs/>
                <w:sz w:val="20"/>
                <w:szCs w:val="20"/>
              </w:rPr>
              <w:t>homes</w:t>
            </w:r>
            <w:proofErr w:type="gramEnd"/>
            <w:r w:rsidR="00E02C4E" w:rsidRPr="00796EA1">
              <w:rPr>
                <w:b/>
                <w:bCs/>
                <w:sz w:val="20"/>
                <w:szCs w:val="20"/>
              </w:rPr>
              <w:t xml:space="preserve"> but these are a small number</w:t>
            </w:r>
            <w:r w:rsidRPr="00796EA1">
              <w:rPr>
                <w:b/>
                <w:bCs/>
                <w:sz w:val="20"/>
                <w:szCs w:val="20"/>
              </w:rPr>
              <w:t>)</w:t>
            </w:r>
          </w:p>
          <w:p w14:paraId="7E8FCD70" w14:textId="26D4F1B4" w:rsidR="31BAD687" w:rsidRPr="000B6313" w:rsidRDefault="31BAD687" w:rsidP="31BAD687">
            <w:pPr>
              <w:pStyle w:val="ListParagraph"/>
              <w:ind w:left="360"/>
            </w:pPr>
          </w:p>
          <w:p w14:paraId="3A84E29B" w14:textId="02685A37" w:rsidR="572B04B1" w:rsidRPr="000B6313" w:rsidRDefault="47542429" w:rsidP="00632748">
            <w:pPr>
              <w:pStyle w:val="ListParagraph"/>
              <w:numPr>
                <w:ilvl w:val="0"/>
                <w:numId w:val="3"/>
              </w:numPr>
            </w:pPr>
            <w:r w:rsidRPr="000B6313">
              <w:rPr>
                <w:u w:val="single"/>
              </w:rPr>
              <w:t>External economic factors</w:t>
            </w:r>
            <w:r w:rsidR="0083649D" w:rsidRPr="000B6313">
              <w:rPr>
                <w:u w:val="single"/>
              </w:rPr>
              <w:t>:</w:t>
            </w:r>
            <w:r w:rsidR="0083649D" w:rsidRPr="000B6313">
              <w:t xml:space="preserve"> G</w:t>
            </w:r>
            <w:r w:rsidR="64EE4708" w:rsidRPr="000B6313">
              <w:t>eneral economic pressures are impacting on care providers</w:t>
            </w:r>
            <w:r w:rsidR="1482ED45" w:rsidRPr="000B6313">
              <w:t>.</w:t>
            </w:r>
            <w:r w:rsidR="00BF5C0C" w:rsidRPr="000B6313">
              <w:t xml:space="preserve"> </w:t>
            </w:r>
            <w:proofErr w:type="gramStart"/>
            <w:r w:rsidR="00BF5C0C" w:rsidRPr="000B6313">
              <w:t>In particular increases</w:t>
            </w:r>
            <w:proofErr w:type="gramEnd"/>
            <w:r w:rsidR="00BF5C0C" w:rsidRPr="000B6313">
              <w:t xml:space="preserve"> in </w:t>
            </w:r>
            <w:r w:rsidR="000A62DE" w:rsidRPr="000B6313">
              <w:t>gas and electricity</w:t>
            </w:r>
            <w:r w:rsidR="00BF5C0C" w:rsidRPr="000B6313">
              <w:t xml:space="preserve"> </w:t>
            </w:r>
            <w:r w:rsidR="00366A9C" w:rsidRPr="000B6313">
              <w:t>prices</w:t>
            </w:r>
            <w:r w:rsidR="00BF5C0C" w:rsidRPr="000B6313">
              <w:t xml:space="preserve"> are </w:t>
            </w:r>
            <w:r w:rsidR="000A62DE" w:rsidRPr="000B6313">
              <w:t xml:space="preserve">affecting our residential care providers and increased petrol and diesel prices are </w:t>
            </w:r>
            <w:r w:rsidR="00D551FC" w:rsidRPr="000B6313">
              <w:t>significantly impacting our domiciliary care providers.</w:t>
            </w:r>
            <w:r w:rsidR="1482ED45" w:rsidRPr="000B6313">
              <w:t xml:space="preserve"> </w:t>
            </w:r>
            <w:r w:rsidR="3547A643" w:rsidRPr="000B6313">
              <w:t>The Council sets an annual fee increase, which</w:t>
            </w:r>
            <w:r w:rsidR="00D551FC" w:rsidRPr="000B6313">
              <w:t xml:space="preserve"> seeks to</w:t>
            </w:r>
            <w:r w:rsidR="3547A643" w:rsidRPr="000B6313">
              <w:t xml:space="preserve"> respond to market pressures </w:t>
            </w:r>
            <w:r w:rsidR="00D551FC" w:rsidRPr="000B6313">
              <w:t>whilst also remaining</w:t>
            </w:r>
            <w:r w:rsidR="3547A643" w:rsidRPr="000B6313">
              <w:t xml:space="preserve"> affordable and</w:t>
            </w:r>
            <w:r w:rsidR="00D551FC" w:rsidRPr="000B6313">
              <w:t xml:space="preserve"> demonstrating</w:t>
            </w:r>
            <w:r w:rsidR="3547A643" w:rsidRPr="000B6313">
              <w:t xml:space="preserve"> value for money</w:t>
            </w:r>
            <w:r w:rsidR="00D551FC" w:rsidRPr="000B6313">
              <w:t xml:space="preserve"> for the Council</w:t>
            </w:r>
            <w:r w:rsidR="3FE5D925" w:rsidRPr="000B6313">
              <w:t xml:space="preserve">. </w:t>
            </w:r>
            <w:r w:rsidR="0742BC11" w:rsidRPr="000B6313">
              <w:t xml:space="preserve">The 23/24 fee uplift has </w:t>
            </w:r>
            <w:proofErr w:type="gramStart"/>
            <w:r w:rsidR="0742BC11" w:rsidRPr="000B6313">
              <w:t>taken into account</w:t>
            </w:r>
            <w:proofErr w:type="gramEnd"/>
            <w:r w:rsidR="0742BC11" w:rsidRPr="000B6313">
              <w:t xml:space="preserve"> a range of cost pressures on the sector. </w:t>
            </w:r>
            <w:r w:rsidR="3FE5D925" w:rsidRPr="000B6313">
              <w:t>Alongside t</w:t>
            </w:r>
            <w:r w:rsidR="00DD6F8E" w:rsidRPr="000B6313">
              <w:t>h</w:t>
            </w:r>
            <w:r w:rsidR="10FC6C6D" w:rsidRPr="000B6313">
              <w:t>e annual fee uplift</w:t>
            </w:r>
            <w:r w:rsidR="3FE5D925" w:rsidRPr="000B6313">
              <w:t>, the Council currently has a</w:t>
            </w:r>
            <w:r w:rsidR="5CD33A87" w:rsidRPr="000B6313">
              <w:t>n additional</w:t>
            </w:r>
            <w:r w:rsidR="3FE5D925" w:rsidRPr="000B6313">
              <w:t xml:space="preserve"> business case process for provider</w:t>
            </w:r>
            <w:r w:rsidR="00D551FC" w:rsidRPr="000B6313">
              <w:t>s</w:t>
            </w:r>
            <w:r w:rsidR="3FE5D925" w:rsidRPr="000B6313">
              <w:t xml:space="preserve"> experiencing exceptional financial pressures.</w:t>
            </w:r>
            <w:r w:rsidR="007C1689" w:rsidRPr="000B6313">
              <w:t xml:space="preserve"> Increases to the cost of living have </w:t>
            </w:r>
            <w:r w:rsidR="00A23C17" w:rsidRPr="000B6313">
              <w:t xml:space="preserve">been frequently cited by providers through these exceptional requests. </w:t>
            </w:r>
            <w:r w:rsidR="511832BA" w:rsidRPr="000B6313">
              <w:t xml:space="preserve"> </w:t>
            </w:r>
          </w:p>
          <w:p w14:paraId="496643E5" w14:textId="03CC0E8A" w:rsidR="31BAD687" w:rsidRPr="000B6313" w:rsidRDefault="31BAD687" w:rsidP="31BAD687"/>
          <w:p w14:paraId="4488ABDE" w14:textId="5A3F72F0" w:rsidR="00666905" w:rsidRPr="000B6313" w:rsidRDefault="7D57BDC1" w:rsidP="00666905">
            <w:pPr>
              <w:rPr>
                <w:color w:val="000000" w:themeColor="text1"/>
              </w:rPr>
            </w:pPr>
            <w:r w:rsidRPr="000B6313">
              <w:t>Buc</w:t>
            </w:r>
            <w:r w:rsidRPr="000B6313">
              <w:rPr>
                <w:color w:val="000000" w:themeColor="text1"/>
              </w:rPr>
              <w:t xml:space="preserve">kinghamshire has a strong </w:t>
            </w:r>
            <w:r w:rsidR="045DBD33" w:rsidRPr="000B6313">
              <w:rPr>
                <w:color w:val="000000" w:themeColor="text1"/>
              </w:rPr>
              <w:t>self-funder</w:t>
            </w:r>
            <w:r w:rsidRPr="000B6313">
              <w:rPr>
                <w:color w:val="000000" w:themeColor="text1"/>
              </w:rPr>
              <w:t xml:space="preserve"> market</w:t>
            </w:r>
            <w:r w:rsidR="4A128337" w:rsidRPr="000B6313">
              <w:rPr>
                <w:color w:val="000000" w:themeColor="text1"/>
              </w:rPr>
              <w:t xml:space="preserve">, </w:t>
            </w:r>
            <w:r w:rsidRPr="000B6313">
              <w:rPr>
                <w:color w:val="000000" w:themeColor="text1"/>
              </w:rPr>
              <w:t xml:space="preserve">but </w:t>
            </w:r>
            <w:r w:rsidR="0F620352" w:rsidRPr="000B6313">
              <w:rPr>
                <w:color w:val="000000" w:themeColor="text1"/>
              </w:rPr>
              <w:t xml:space="preserve">there is limited intelligence available to the Council on the care </w:t>
            </w:r>
            <w:r w:rsidR="00944581" w:rsidRPr="000B6313">
              <w:rPr>
                <w:color w:val="000000" w:themeColor="text1"/>
              </w:rPr>
              <w:t>that is being accessed by this cohort</w:t>
            </w:r>
            <w:r w:rsidR="0F620352" w:rsidRPr="000B6313">
              <w:rPr>
                <w:color w:val="000000" w:themeColor="text1"/>
              </w:rPr>
              <w:t>.</w:t>
            </w:r>
            <w:r w:rsidR="00856A4C" w:rsidRPr="000B6313">
              <w:rPr>
                <w:color w:val="000000" w:themeColor="text1"/>
              </w:rPr>
              <w:t xml:space="preserve"> I</w:t>
            </w:r>
            <w:r w:rsidR="511832BA" w:rsidRPr="000B6313">
              <w:rPr>
                <w:color w:val="000000" w:themeColor="text1"/>
              </w:rPr>
              <w:t>ncreasing costs</w:t>
            </w:r>
            <w:r w:rsidR="3BD5B1D0" w:rsidRPr="000B6313">
              <w:rPr>
                <w:color w:val="000000" w:themeColor="text1"/>
              </w:rPr>
              <w:t xml:space="preserve"> in the market </w:t>
            </w:r>
            <w:r w:rsidR="48754AA1" w:rsidRPr="000B6313">
              <w:rPr>
                <w:color w:val="000000" w:themeColor="text1"/>
              </w:rPr>
              <w:t>are</w:t>
            </w:r>
            <w:r w:rsidR="3BD5B1D0" w:rsidRPr="000B6313">
              <w:rPr>
                <w:color w:val="000000" w:themeColor="text1"/>
              </w:rPr>
              <w:t xml:space="preserve"> resulting in </w:t>
            </w:r>
            <w:r w:rsidR="511832BA" w:rsidRPr="000B6313">
              <w:rPr>
                <w:color w:val="000000" w:themeColor="text1"/>
              </w:rPr>
              <w:t>people deplet</w:t>
            </w:r>
            <w:r w:rsidR="00944581" w:rsidRPr="000B6313">
              <w:rPr>
                <w:color w:val="000000" w:themeColor="text1"/>
              </w:rPr>
              <w:t>ing their funds</w:t>
            </w:r>
            <w:r w:rsidR="511832BA" w:rsidRPr="000B6313">
              <w:rPr>
                <w:color w:val="000000" w:themeColor="text1"/>
              </w:rPr>
              <w:t xml:space="preserve"> faster</w:t>
            </w:r>
            <w:r w:rsidR="00944581" w:rsidRPr="000B6313">
              <w:rPr>
                <w:color w:val="000000" w:themeColor="text1"/>
              </w:rPr>
              <w:t>,</w:t>
            </w:r>
            <w:r w:rsidR="511832BA" w:rsidRPr="000B6313">
              <w:rPr>
                <w:color w:val="000000" w:themeColor="text1"/>
              </w:rPr>
              <w:t xml:space="preserve"> </w:t>
            </w:r>
            <w:r w:rsidR="00944581" w:rsidRPr="000B6313">
              <w:rPr>
                <w:color w:val="000000" w:themeColor="text1"/>
              </w:rPr>
              <w:t>meaning</w:t>
            </w:r>
            <w:r w:rsidR="73133CA0" w:rsidRPr="000B6313">
              <w:rPr>
                <w:color w:val="000000" w:themeColor="text1"/>
              </w:rPr>
              <w:t xml:space="preserve"> cost pressures related to self</w:t>
            </w:r>
            <w:r w:rsidR="00944581" w:rsidRPr="000B6313">
              <w:rPr>
                <w:color w:val="000000" w:themeColor="text1"/>
              </w:rPr>
              <w:t>-</w:t>
            </w:r>
            <w:r w:rsidR="73133CA0" w:rsidRPr="000B6313">
              <w:rPr>
                <w:color w:val="000000" w:themeColor="text1"/>
              </w:rPr>
              <w:t>funders are increasing.</w:t>
            </w:r>
            <w:r w:rsidR="04D6E9E2" w:rsidRPr="000B6313">
              <w:rPr>
                <w:color w:val="000000" w:themeColor="text1"/>
              </w:rPr>
              <w:t xml:space="preserve"> </w:t>
            </w:r>
            <w:r w:rsidR="00C9310D" w:rsidRPr="000B6313">
              <w:rPr>
                <w:color w:val="000000" w:themeColor="text1"/>
              </w:rPr>
              <w:t xml:space="preserve">The high levels of </w:t>
            </w:r>
            <w:proofErr w:type="spellStart"/>
            <w:r w:rsidR="00C9310D" w:rsidRPr="000B6313">
              <w:rPr>
                <w:color w:val="000000" w:themeColor="text1"/>
              </w:rPr>
              <w:t>self funders</w:t>
            </w:r>
            <w:proofErr w:type="spellEnd"/>
            <w:r w:rsidR="00C9310D" w:rsidRPr="000B6313">
              <w:rPr>
                <w:color w:val="000000" w:themeColor="text1"/>
              </w:rPr>
              <w:t xml:space="preserve"> </w:t>
            </w:r>
            <w:proofErr w:type="gramStart"/>
            <w:r w:rsidR="00C9310D" w:rsidRPr="000B6313">
              <w:rPr>
                <w:color w:val="000000" w:themeColor="text1"/>
              </w:rPr>
              <w:t>results</w:t>
            </w:r>
            <w:proofErr w:type="gramEnd"/>
            <w:r w:rsidR="00C9310D" w:rsidRPr="000B6313">
              <w:rPr>
                <w:color w:val="000000" w:themeColor="text1"/>
              </w:rPr>
              <w:t xml:space="preserve"> in the Council having less </w:t>
            </w:r>
            <w:r w:rsidR="00477EDA" w:rsidRPr="000B6313">
              <w:rPr>
                <w:color w:val="000000" w:themeColor="text1"/>
              </w:rPr>
              <w:t xml:space="preserve">oversight and leverage with local providers. If sufficiently funded, the social care reforms provide the opportunity for </w:t>
            </w:r>
            <w:r w:rsidR="00590E55" w:rsidRPr="000B6313">
              <w:rPr>
                <w:color w:val="000000" w:themeColor="text1"/>
              </w:rPr>
              <w:t>the Council to manage a greater share of the local adult social care market and with this more opportunity to manage and shape local provision</w:t>
            </w:r>
            <w:r w:rsidR="00330F6E" w:rsidRPr="000B6313">
              <w:rPr>
                <w:color w:val="000000" w:themeColor="text1"/>
              </w:rPr>
              <w:t xml:space="preserve"> and maximise on the </w:t>
            </w:r>
            <w:r w:rsidR="642EBC3C" w:rsidRPr="000B6313">
              <w:rPr>
                <w:color w:val="000000" w:themeColor="text1"/>
              </w:rPr>
              <w:t>additional influence that wider commissioning offers.</w:t>
            </w:r>
          </w:p>
        </w:tc>
      </w:tr>
      <w:tr w:rsidR="572B04B1" w:rsidRPr="000B6313" w14:paraId="606E7933"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A3F34" w14:textId="2FBEE5B2" w:rsidR="572B04B1" w:rsidRPr="000B6313" w:rsidRDefault="5714A5E0" w:rsidP="00B56DA0">
            <w:pPr>
              <w:pStyle w:val="ListParagraph"/>
              <w:numPr>
                <w:ilvl w:val="0"/>
                <w:numId w:val="4"/>
              </w:numPr>
              <w:spacing w:after="0" w:line="240" w:lineRule="auto"/>
              <w:rPr>
                <w:b/>
                <w:bCs/>
              </w:rPr>
            </w:pPr>
            <w:r w:rsidRPr="00B56DA0">
              <w:lastRenderedPageBreak/>
              <w:t>Assessment of current sustainability of the 65+ care home market</w:t>
            </w:r>
          </w:p>
        </w:tc>
      </w:tr>
      <w:tr w:rsidR="005D24CB" w:rsidRPr="000B6313" w14:paraId="0B9F0FB7"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3C184" w14:textId="77777777" w:rsidR="00B56DA0" w:rsidRDefault="00B56DA0">
            <w:pPr>
              <w:spacing w:after="0" w:line="240" w:lineRule="auto"/>
            </w:pPr>
          </w:p>
          <w:p w14:paraId="755F51F3" w14:textId="6EC69735" w:rsidR="00EA1D84" w:rsidRPr="000B6313" w:rsidRDefault="7F6C2521">
            <w:pPr>
              <w:spacing w:after="0" w:line="240" w:lineRule="auto"/>
            </w:pPr>
            <w:r w:rsidRPr="000B6313">
              <w:t xml:space="preserve">Residential and Nursing Care gross expenditure for </w:t>
            </w:r>
            <w:r w:rsidR="00FB0437" w:rsidRPr="000B6313">
              <w:t>20</w:t>
            </w:r>
            <w:r w:rsidRPr="000B6313">
              <w:t>21/22 was £31.9m</w:t>
            </w:r>
            <w:r w:rsidR="3E748829" w:rsidRPr="000B6313">
              <w:t>,</w:t>
            </w:r>
            <w:r w:rsidRPr="000B6313">
              <w:t xml:space="preserve"> in a local market comprised of</w:t>
            </w:r>
            <w:r w:rsidR="091C0D87" w:rsidRPr="000B6313">
              <w:t xml:space="preserve"> 77</w:t>
            </w:r>
            <w:r w:rsidR="009733AD" w:rsidRPr="000B6313">
              <w:t xml:space="preserve"> 65+</w:t>
            </w:r>
            <w:r w:rsidR="091C0D87" w:rsidRPr="000B6313">
              <w:t xml:space="preserve"> residential and nursing care providers</w:t>
            </w:r>
            <w:r w:rsidR="54F6D1CE" w:rsidRPr="000B6313">
              <w:t>, delivering across 125 settings</w:t>
            </w:r>
            <w:r w:rsidR="76134465" w:rsidRPr="000B6313">
              <w:t xml:space="preserve">. </w:t>
            </w:r>
          </w:p>
          <w:p w14:paraId="64A85781" w14:textId="74D518B2" w:rsidR="001D7D33" w:rsidRPr="000B6313" w:rsidRDefault="001D7D33">
            <w:pPr>
              <w:spacing w:after="0" w:line="240" w:lineRule="auto"/>
            </w:pPr>
          </w:p>
          <w:p w14:paraId="2E2153EF" w14:textId="298488FB" w:rsidR="00B40417" w:rsidRPr="000B6313" w:rsidRDefault="002E38A7">
            <w:pPr>
              <w:spacing w:after="0" w:line="240" w:lineRule="auto"/>
            </w:pPr>
            <w:r w:rsidRPr="000B6313">
              <w:t xml:space="preserve">As outlined in Table 3, there is a reported capacity of 3583 beds across 65+ residential and nursing care, with capacity sitting between </w:t>
            </w:r>
            <w:r w:rsidR="00FF44D8" w:rsidRPr="000B6313">
              <w:t>79%</w:t>
            </w:r>
            <w:r w:rsidRPr="000B6313">
              <w:t xml:space="preserve"> according to the National Capacity Tracker.</w:t>
            </w:r>
          </w:p>
          <w:p w14:paraId="730009C2" w14:textId="63834000" w:rsidR="00B40417" w:rsidRPr="000B6313" w:rsidRDefault="00B40417">
            <w:pPr>
              <w:spacing w:after="0" w:line="240" w:lineRule="auto"/>
            </w:pPr>
          </w:p>
          <w:p w14:paraId="409BE857" w14:textId="7CDC3C68" w:rsidR="00733DDC" w:rsidRPr="006B431D" w:rsidRDefault="00733DDC" w:rsidP="00733DDC">
            <w:pPr>
              <w:spacing w:after="0" w:line="240" w:lineRule="auto"/>
              <w:rPr>
                <w:b/>
              </w:rPr>
            </w:pPr>
            <w:r w:rsidRPr="006B431D">
              <w:rPr>
                <w:b/>
              </w:rPr>
              <w:t xml:space="preserve">Table </w:t>
            </w:r>
            <w:r w:rsidR="001116F2" w:rsidRPr="006B431D">
              <w:rPr>
                <w:b/>
              </w:rPr>
              <w:t>3.</w:t>
            </w:r>
            <w:r w:rsidRPr="006B431D">
              <w:rPr>
                <w:b/>
              </w:rPr>
              <w:t xml:space="preserve"> Bed Availability by Bed Type</w:t>
            </w:r>
            <w:r w:rsidR="00796EA1">
              <w:rPr>
                <w:b/>
              </w:rPr>
              <w:t xml:space="preserve"> (</w:t>
            </w:r>
            <w:r w:rsidR="0024762D">
              <w:rPr>
                <w:b/>
              </w:rPr>
              <w:t>National Capacity Tracker, 28 February 2023)</w:t>
            </w:r>
            <w:r w:rsidR="00796EA1">
              <w:rPr>
                <w:b/>
              </w:rPr>
              <w:t xml:space="preserve"> </w:t>
            </w:r>
          </w:p>
          <w:p w14:paraId="382D2719" w14:textId="77777777" w:rsidR="00733DDC" w:rsidRPr="000B6313" w:rsidRDefault="00733DDC" w:rsidP="00733DDC">
            <w:pPr>
              <w:spacing w:after="0" w:line="240" w:lineRule="auto"/>
            </w:pPr>
          </w:p>
          <w:p w14:paraId="7223EBD6" w14:textId="60DFB7A7" w:rsidR="00EE62B1" w:rsidRPr="000B6313" w:rsidRDefault="00CF5368" w:rsidP="000E5A5D">
            <w:pPr>
              <w:spacing w:after="0" w:line="240" w:lineRule="auto"/>
            </w:pPr>
            <w:r>
              <w:rPr>
                <w:noProof/>
              </w:rPr>
              <w:drawing>
                <wp:inline distT="0" distB="0" distL="0" distR="0" wp14:anchorId="01955DE9" wp14:editId="55B5E9E5">
                  <wp:extent cx="5816600" cy="19411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600" cy="1941195"/>
                          </a:xfrm>
                          <a:prstGeom prst="rect">
                            <a:avLst/>
                          </a:prstGeom>
                          <a:noFill/>
                          <a:ln>
                            <a:noFill/>
                          </a:ln>
                        </pic:spPr>
                      </pic:pic>
                    </a:graphicData>
                  </a:graphic>
                </wp:inline>
              </w:drawing>
            </w:r>
          </w:p>
          <w:p w14:paraId="2297E7F0" w14:textId="77777777" w:rsidR="00EE62B1" w:rsidRPr="000B6313" w:rsidRDefault="00EE62B1" w:rsidP="000E5A5D">
            <w:pPr>
              <w:spacing w:after="0" w:line="240" w:lineRule="auto"/>
            </w:pPr>
          </w:p>
          <w:p w14:paraId="5C4D5D5D" w14:textId="671B6FAB" w:rsidR="001D7835" w:rsidRPr="000B6313" w:rsidRDefault="00072ED2" w:rsidP="000E5A5D">
            <w:pPr>
              <w:spacing w:after="0" w:line="240" w:lineRule="auto"/>
            </w:pPr>
            <w:r w:rsidRPr="000B6313">
              <w:lastRenderedPageBreak/>
              <w:t>The</w:t>
            </w:r>
            <w:r w:rsidR="00AC74CB" w:rsidRPr="000B6313">
              <w:t xml:space="preserve"> figure</w:t>
            </w:r>
            <w:r w:rsidR="00B40417" w:rsidRPr="000B6313">
              <w:t>s</w:t>
            </w:r>
            <w:r w:rsidRPr="000B6313">
              <w:t xml:space="preserve"> in the final column indicate</w:t>
            </w:r>
            <w:r w:rsidR="001D7835" w:rsidRPr="000B6313">
              <w:t xml:space="preserve"> that</w:t>
            </w:r>
            <w:r w:rsidRPr="000B6313">
              <w:t xml:space="preserve"> availability </w:t>
            </w:r>
            <w:r w:rsidR="00C21A12" w:rsidRPr="000B6313">
              <w:t>displayed</w:t>
            </w:r>
            <w:r w:rsidRPr="000B6313">
              <w:t xml:space="preserve"> on the capacity tracker is further reduced </w:t>
            </w:r>
            <w:r w:rsidR="00C21A12" w:rsidRPr="000B6313">
              <w:t xml:space="preserve">when local suspensions are accounted for, as well as any settings where providers set prices that </w:t>
            </w:r>
            <w:r w:rsidR="000E37B5" w:rsidRPr="000B6313">
              <w:t xml:space="preserve">are beyond those the Council </w:t>
            </w:r>
            <w:proofErr w:type="gramStart"/>
            <w:r w:rsidR="00622315" w:rsidRPr="000B6313">
              <w:t>is able to</w:t>
            </w:r>
            <w:proofErr w:type="gramEnd"/>
            <w:r w:rsidR="00622315" w:rsidRPr="000B6313">
              <w:t xml:space="preserve"> sustain. </w:t>
            </w:r>
            <w:r w:rsidR="001D7835" w:rsidRPr="000B6313">
              <w:t>The final column</w:t>
            </w:r>
            <w:r w:rsidR="00622315" w:rsidRPr="000B6313">
              <w:t xml:space="preserve"> is still likely to </w:t>
            </w:r>
            <w:r w:rsidR="00B40417" w:rsidRPr="000B6313">
              <w:t xml:space="preserve">over-estimate availability </w:t>
            </w:r>
            <w:r w:rsidR="001D7835" w:rsidRPr="000B6313">
              <w:t>when other factors including service user need and choice are accounted for</w:t>
            </w:r>
            <w:r w:rsidR="00B40417" w:rsidRPr="000B6313">
              <w:t xml:space="preserve">. </w:t>
            </w:r>
          </w:p>
          <w:p w14:paraId="6708B6B3" w14:textId="77777777" w:rsidR="001D7835" w:rsidRPr="000B6313" w:rsidRDefault="001D7835" w:rsidP="000E5A5D">
            <w:pPr>
              <w:spacing w:after="0" w:line="240" w:lineRule="auto"/>
            </w:pPr>
          </w:p>
          <w:p w14:paraId="2A4D6D34" w14:textId="011B2459" w:rsidR="000E5A5D" w:rsidRPr="000B6313" w:rsidRDefault="00B40417" w:rsidP="000E5A5D">
            <w:pPr>
              <w:spacing w:after="0" w:line="240" w:lineRule="auto"/>
            </w:pPr>
            <w:r w:rsidRPr="000B6313">
              <w:t>T</w:t>
            </w:r>
            <w:r w:rsidR="00806826" w:rsidRPr="000B6313">
              <w:t>he Council lacks capacity</w:t>
            </w:r>
            <w:r w:rsidRPr="000B6313">
              <w:t xml:space="preserve"> across some areas of the market, in particular</w:t>
            </w:r>
            <w:r w:rsidR="00806826" w:rsidRPr="000B6313">
              <w:t xml:space="preserve"> </w:t>
            </w:r>
            <w:r w:rsidR="00DC16E6" w:rsidRPr="000B6313">
              <w:t>65+ respite provision</w:t>
            </w:r>
            <w:r w:rsidR="00C07102" w:rsidRPr="000B6313">
              <w:t xml:space="preserve"> and </w:t>
            </w:r>
            <w:r w:rsidR="00DC16E6" w:rsidRPr="000B6313">
              <w:t xml:space="preserve">specialist dementia beds. </w:t>
            </w:r>
            <w:r w:rsidR="000E5A5D" w:rsidRPr="000B6313">
              <w:t>The Council aims to support people locally wherever possible, but currently commissions residential or nursing care out of county for just under 200 service users</w:t>
            </w:r>
            <w:r w:rsidR="005879B6" w:rsidRPr="000B6313">
              <w:t xml:space="preserve"> aged 65 or over</w:t>
            </w:r>
            <w:r w:rsidR="00117946">
              <w:t xml:space="preserve"> (</w:t>
            </w:r>
            <w:r w:rsidR="00E13DE2">
              <w:t>around 16% of all clients)</w:t>
            </w:r>
            <w:r w:rsidR="000E5A5D" w:rsidRPr="000B6313">
              <w:t xml:space="preserve">. This will be for a variety of reasons including lack of suitable bed availability within Buckinghamshire. </w:t>
            </w:r>
            <w:r w:rsidR="00771C82" w:rsidRPr="000B6313">
              <w:rPr>
                <w:color w:val="000000" w:themeColor="text1"/>
              </w:rPr>
              <w:t xml:space="preserve">Buckinghamshire has completed a market analysis for </w:t>
            </w:r>
            <w:r w:rsidR="00065E32">
              <w:rPr>
                <w:color w:val="000000" w:themeColor="text1"/>
              </w:rPr>
              <w:t xml:space="preserve">accommodation based </w:t>
            </w:r>
            <w:r w:rsidR="00771C82" w:rsidRPr="000B6313">
              <w:rPr>
                <w:color w:val="000000" w:themeColor="text1"/>
              </w:rPr>
              <w:t xml:space="preserve">adult social care services, to estimate the need for provision over the next 20 years. This work suggests that the need for standard residential beds will remain stable, but the need for nursing beds will increase. </w:t>
            </w:r>
            <w:r w:rsidR="00771C82" w:rsidRPr="000B6313">
              <w:rPr>
                <w:i/>
                <w:iCs/>
                <w:color w:val="000000" w:themeColor="text1"/>
              </w:rPr>
              <w:t xml:space="preserve"> </w:t>
            </w:r>
          </w:p>
          <w:p w14:paraId="10BB2651" w14:textId="77777777" w:rsidR="00806826" w:rsidRPr="000B6313" w:rsidRDefault="00806826">
            <w:pPr>
              <w:spacing w:after="0" w:line="240" w:lineRule="auto"/>
            </w:pPr>
          </w:p>
          <w:p w14:paraId="30F16669" w14:textId="400D2D94" w:rsidR="00D326D5" w:rsidRPr="000B6313" w:rsidRDefault="00806826">
            <w:pPr>
              <w:spacing w:after="0" w:line="240" w:lineRule="auto"/>
            </w:pPr>
            <w:r w:rsidRPr="000B6313">
              <w:rPr>
                <w:color w:val="000000" w:themeColor="text1"/>
              </w:rPr>
              <w:t xml:space="preserve">The </w:t>
            </w:r>
            <w:r w:rsidR="26004A82" w:rsidRPr="000B6313">
              <w:t xml:space="preserve">market </w:t>
            </w:r>
            <w:r w:rsidR="446D2DF8" w:rsidRPr="000B6313">
              <w:t xml:space="preserve">is quite diverse, with a variety of size and type of </w:t>
            </w:r>
            <w:r w:rsidR="446D2DF8" w:rsidRPr="000B6313">
              <w:rPr>
                <w:color w:val="000000" w:themeColor="text1"/>
              </w:rPr>
              <w:t>service</w:t>
            </w:r>
            <w:r w:rsidR="26004A82" w:rsidRPr="000B6313">
              <w:rPr>
                <w:color w:val="000000" w:themeColor="text1"/>
              </w:rPr>
              <w:t xml:space="preserve"> </w:t>
            </w:r>
            <w:r w:rsidR="00DC16E6" w:rsidRPr="000B6313">
              <w:rPr>
                <w:color w:val="000000" w:themeColor="text1"/>
              </w:rPr>
              <w:t>and</w:t>
            </w:r>
            <w:r w:rsidR="26004A82" w:rsidRPr="000B6313">
              <w:rPr>
                <w:color w:val="000000" w:themeColor="text1"/>
              </w:rPr>
              <w:t xml:space="preserve"> </w:t>
            </w:r>
            <w:r w:rsidR="5CFD8619" w:rsidRPr="000B6313">
              <w:rPr>
                <w:color w:val="000000" w:themeColor="text1"/>
              </w:rPr>
              <w:t>a significant number of SME or independent providers</w:t>
            </w:r>
            <w:r w:rsidR="26004A82" w:rsidRPr="000B6313">
              <w:rPr>
                <w:color w:val="000000" w:themeColor="text1"/>
              </w:rPr>
              <w:t xml:space="preserve"> compared to larger, national chains.</w:t>
            </w:r>
            <w:r w:rsidR="26004A82" w:rsidRPr="000B6313">
              <w:rPr>
                <w:i/>
                <w:iCs/>
                <w:color w:val="000000" w:themeColor="text1"/>
              </w:rPr>
              <w:t xml:space="preserve"> </w:t>
            </w:r>
            <w:r w:rsidR="0DB73D27" w:rsidRPr="000B6313">
              <w:t>Of the occupied beds</w:t>
            </w:r>
            <w:r w:rsidR="6AFA3964" w:rsidRPr="000B6313">
              <w:t>,</w:t>
            </w:r>
            <w:r w:rsidR="0DB73D27" w:rsidRPr="000B6313">
              <w:t xml:space="preserve"> Buckinghamshire Council commission</w:t>
            </w:r>
            <w:r w:rsidR="00DC16E6" w:rsidRPr="000B6313">
              <w:t>s</w:t>
            </w:r>
            <w:r w:rsidR="0DB73D27" w:rsidRPr="000B6313">
              <w:t xml:space="preserve"> 46%</w:t>
            </w:r>
            <w:r w:rsidR="337D715F" w:rsidRPr="000B6313">
              <w:t xml:space="preserve"> for local authority clients</w:t>
            </w:r>
            <w:r w:rsidR="0DB73D27" w:rsidRPr="000B6313">
              <w:t xml:space="preserve">, with the remainder commissioned by </w:t>
            </w:r>
            <w:r w:rsidR="17C8F59F" w:rsidRPr="000B6313">
              <w:t>the Council on behalf of the</w:t>
            </w:r>
            <w:r w:rsidR="00DC16E6" w:rsidRPr="000B6313">
              <w:t xml:space="preserve"> ICB</w:t>
            </w:r>
            <w:r w:rsidR="0009695E" w:rsidRPr="000B6313">
              <w:t xml:space="preserve"> or used for </w:t>
            </w:r>
            <w:r w:rsidR="0DB73D27" w:rsidRPr="000B6313">
              <w:t xml:space="preserve">self-funders. Buckinghamshire has </w:t>
            </w:r>
            <w:r w:rsidR="6941F065" w:rsidRPr="000B6313">
              <w:t>above average</w:t>
            </w:r>
            <w:r w:rsidR="0DB73D27" w:rsidRPr="000B6313">
              <w:t xml:space="preserve"> levels of self-funders, largely driven by the demographic of its residents. </w:t>
            </w:r>
          </w:p>
          <w:p w14:paraId="5D2D9376" w14:textId="77777777" w:rsidR="002854B9" w:rsidRPr="000B6313" w:rsidRDefault="002854B9">
            <w:pPr>
              <w:spacing w:after="0" w:line="240" w:lineRule="auto"/>
              <w:rPr>
                <w:bCs/>
              </w:rPr>
            </w:pPr>
          </w:p>
          <w:p w14:paraId="3E2FD4B1" w14:textId="463852C8" w:rsidR="0036308C" w:rsidRPr="000B6313" w:rsidRDefault="5EBE97BA">
            <w:pPr>
              <w:spacing w:after="0" w:line="240" w:lineRule="auto"/>
            </w:pPr>
            <w:r w:rsidRPr="000B6313">
              <w:t xml:space="preserve">In </w:t>
            </w:r>
            <w:r w:rsidR="00003A7C" w:rsidRPr="000B6313">
              <w:t>terms</w:t>
            </w:r>
            <w:r w:rsidRPr="000B6313">
              <w:t xml:space="preserve"> of sufficiency of supply</w:t>
            </w:r>
            <w:r w:rsidR="00003A7C" w:rsidRPr="000B6313">
              <w:t>,</w:t>
            </w:r>
            <w:r w:rsidRPr="000B6313">
              <w:rPr>
                <w:i/>
                <w:iCs/>
              </w:rPr>
              <w:t xml:space="preserve"> </w:t>
            </w:r>
            <w:r w:rsidR="64EA07A0" w:rsidRPr="000B6313">
              <w:t>Buckinghamshire</w:t>
            </w:r>
            <w:r w:rsidR="008C20D7" w:rsidRPr="000B6313">
              <w:t xml:space="preserve"> Council</w:t>
            </w:r>
            <w:r w:rsidR="64EA07A0" w:rsidRPr="000B6313">
              <w:t xml:space="preserve"> currently place </w:t>
            </w:r>
            <w:proofErr w:type="gramStart"/>
            <w:r w:rsidR="64EA07A0" w:rsidRPr="000B6313">
              <w:t>the</w:t>
            </w:r>
            <w:r w:rsidR="0BF3A51A" w:rsidRPr="000B6313">
              <w:t xml:space="preserve"> </w:t>
            </w:r>
            <w:r w:rsidR="64EA07A0" w:rsidRPr="000B6313">
              <w:t>majority of</w:t>
            </w:r>
            <w:proofErr w:type="gramEnd"/>
            <w:r w:rsidR="6AD87131" w:rsidRPr="000B6313">
              <w:t xml:space="preserve"> residential and nursing care</w:t>
            </w:r>
            <w:r w:rsidR="64EA07A0" w:rsidRPr="000B6313">
              <w:t xml:space="preserve"> clients within 10% of the </w:t>
            </w:r>
            <w:r w:rsidR="0A99DA0B" w:rsidRPr="000B6313">
              <w:t xml:space="preserve">provider </w:t>
            </w:r>
            <w:r w:rsidR="64EA07A0" w:rsidRPr="000B6313">
              <w:t>market</w:t>
            </w:r>
            <w:r w:rsidR="71AEA9EF" w:rsidRPr="000B6313">
              <w:t xml:space="preserve">. </w:t>
            </w:r>
            <w:r w:rsidR="00003A7C" w:rsidRPr="000B6313">
              <w:t>This is</w:t>
            </w:r>
            <w:r w:rsidR="314C004F" w:rsidRPr="000B6313">
              <w:t xml:space="preserve"> </w:t>
            </w:r>
            <w:r w:rsidR="16644F79" w:rsidRPr="000B6313">
              <w:t xml:space="preserve">driven </w:t>
            </w:r>
            <w:r w:rsidR="7B07822B" w:rsidRPr="000B6313">
              <w:t>by</w:t>
            </w:r>
            <w:r w:rsidR="2B6C26AC" w:rsidRPr="000B6313">
              <w:t xml:space="preserve"> the current commissioning </w:t>
            </w:r>
            <w:r w:rsidR="5F67B402" w:rsidRPr="000B6313">
              <w:t>model</w:t>
            </w:r>
            <w:r w:rsidR="008C20D7" w:rsidRPr="000B6313">
              <w:t xml:space="preserve">, which includes </w:t>
            </w:r>
            <w:r w:rsidR="47FAB6AE" w:rsidRPr="000B6313">
              <w:t>large block contract</w:t>
            </w:r>
            <w:r w:rsidR="00003A7C" w:rsidRPr="000B6313">
              <w:t>s with</w:t>
            </w:r>
            <w:r w:rsidR="67882E44" w:rsidRPr="000B6313">
              <w:t xml:space="preserve"> </w:t>
            </w:r>
            <w:r w:rsidR="3332B6D5" w:rsidRPr="000B6313">
              <w:t>2 providers delivered in 12 settings.</w:t>
            </w:r>
            <w:r w:rsidR="00AF6FC2" w:rsidRPr="000B6313">
              <w:t xml:space="preserve"> Additional capacity outside of this arrangement</w:t>
            </w:r>
            <w:r w:rsidR="3332B6D5" w:rsidRPr="000B6313">
              <w:t xml:space="preserve"> is purchased on a spot basis.</w:t>
            </w:r>
            <w:r w:rsidR="4C7CE81F" w:rsidRPr="000B6313">
              <w:rPr>
                <w:color w:val="FF0000"/>
              </w:rPr>
              <w:t xml:space="preserve"> </w:t>
            </w:r>
            <w:r w:rsidR="00F0D162" w:rsidRPr="000B6313">
              <w:t xml:space="preserve">The Council </w:t>
            </w:r>
            <w:r w:rsidR="00AF6FC2" w:rsidRPr="000B6313">
              <w:t>has recognised the need to move towards a more strategic approach to commissioning care</w:t>
            </w:r>
            <w:r w:rsidR="00003A7C" w:rsidRPr="000B6313">
              <w:t xml:space="preserve"> </w:t>
            </w:r>
            <w:r w:rsidR="009D582C" w:rsidRPr="000B6313">
              <w:t>and is planning to</w:t>
            </w:r>
            <w:r w:rsidR="3332B6D5" w:rsidRPr="000B6313">
              <w:t xml:space="preserve"> </w:t>
            </w:r>
            <w:r w:rsidR="115E795C" w:rsidRPr="000B6313">
              <w:t>introduce</w:t>
            </w:r>
            <w:r w:rsidR="3332B6D5" w:rsidRPr="000B6313">
              <w:t xml:space="preserve"> a dynamic purchasing vehicl</w:t>
            </w:r>
            <w:r w:rsidR="00003A7C" w:rsidRPr="000B6313">
              <w:t>e</w:t>
            </w:r>
            <w:r w:rsidR="00DE7982" w:rsidRPr="000B6313">
              <w:t xml:space="preserve"> as the mechanism for purchasing </w:t>
            </w:r>
            <w:r w:rsidR="009D582C" w:rsidRPr="000B6313">
              <w:t>residential and nursing care in Buckinghamshire</w:t>
            </w:r>
            <w:r w:rsidR="00003A7C" w:rsidRPr="000B6313">
              <w:t xml:space="preserve">. This </w:t>
            </w:r>
            <w:r w:rsidR="02E91CCE" w:rsidRPr="000B6313">
              <w:t xml:space="preserve">will enable a wider part of the market to engage with the Council on a more systematic basis. </w:t>
            </w:r>
          </w:p>
          <w:p w14:paraId="4647A9E6" w14:textId="77777777" w:rsidR="004A697D" w:rsidRPr="000B6313" w:rsidRDefault="004A697D">
            <w:pPr>
              <w:spacing w:after="0" w:line="240" w:lineRule="auto"/>
              <w:rPr>
                <w:i/>
                <w:iCs/>
              </w:rPr>
            </w:pPr>
          </w:p>
          <w:p w14:paraId="08D6D0D3" w14:textId="23BA5803" w:rsidR="00E133CF" w:rsidRPr="000B6313" w:rsidRDefault="6EA57985" w:rsidP="24AF049D">
            <w:pPr>
              <w:spacing w:after="0" w:line="240" w:lineRule="auto"/>
              <w:rPr>
                <w:color w:val="000000" w:themeColor="text1"/>
              </w:rPr>
            </w:pPr>
            <w:r w:rsidRPr="000B6313">
              <w:rPr>
                <w:color w:val="000000" w:themeColor="text1"/>
              </w:rPr>
              <w:t>The</w:t>
            </w:r>
            <w:r w:rsidR="00C54A7F">
              <w:rPr>
                <w:color w:val="000000" w:themeColor="text1"/>
              </w:rPr>
              <w:t xml:space="preserve"> nursing and residential care home sector is not static. </w:t>
            </w:r>
            <w:r w:rsidR="003E5D4F" w:rsidRPr="000B6313">
              <w:rPr>
                <w:color w:val="000000" w:themeColor="text1"/>
              </w:rPr>
              <w:t xml:space="preserve"> There have been </w:t>
            </w:r>
            <w:r w:rsidR="00297510" w:rsidRPr="000B6313">
              <w:rPr>
                <w:color w:val="000000" w:themeColor="text1"/>
              </w:rPr>
              <w:t>three 65+ care home closures in the last 18 months</w:t>
            </w:r>
            <w:r w:rsidR="003E5D4F" w:rsidRPr="000B6313">
              <w:rPr>
                <w:color w:val="000000" w:themeColor="text1"/>
              </w:rPr>
              <w:t xml:space="preserve">, related </w:t>
            </w:r>
            <w:r w:rsidR="00233E9E" w:rsidRPr="000B6313">
              <w:rPr>
                <w:color w:val="000000" w:themeColor="text1"/>
              </w:rPr>
              <w:t xml:space="preserve">either </w:t>
            </w:r>
            <w:r w:rsidR="003E5D4F" w:rsidRPr="000B6313">
              <w:rPr>
                <w:color w:val="000000" w:themeColor="text1"/>
              </w:rPr>
              <w:t>to quality</w:t>
            </w:r>
            <w:r w:rsidR="00233E9E" w:rsidRPr="000B6313">
              <w:rPr>
                <w:color w:val="000000" w:themeColor="text1"/>
              </w:rPr>
              <w:t xml:space="preserve"> issues or </w:t>
            </w:r>
            <w:r w:rsidR="003E5D4F" w:rsidRPr="000B6313">
              <w:rPr>
                <w:color w:val="000000" w:themeColor="text1"/>
              </w:rPr>
              <w:t xml:space="preserve">providers reassessing their business models post Covid. </w:t>
            </w:r>
            <w:r w:rsidR="00D84D5D" w:rsidRPr="000B6313">
              <w:rPr>
                <w:color w:val="000000" w:themeColor="text1"/>
              </w:rPr>
              <w:t>In 2022 the</w:t>
            </w:r>
            <w:r w:rsidR="00297510" w:rsidRPr="000B6313">
              <w:rPr>
                <w:color w:val="000000" w:themeColor="text1"/>
              </w:rPr>
              <w:t xml:space="preserve"> Council</w:t>
            </w:r>
            <w:r w:rsidR="00D84D5D" w:rsidRPr="000B6313">
              <w:rPr>
                <w:color w:val="000000" w:themeColor="text1"/>
              </w:rPr>
              <w:t xml:space="preserve"> led on </w:t>
            </w:r>
            <w:r w:rsidR="00297510" w:rsidRPr="000B6313">
              <w:rPr>
                <w:color w:val="000000" w:themeColor="text1"/>
              </w:rPr>
              <w:t>two</w:t>
            </w:r>
            <w:r w:rsidR="10ABABAB" w:rsidRPr="000B6313">
              <w:rPr>
                <w:color w:val="000000" w:themeColor="text1"/>
              </w:rPr>
              <w:t xml:space="preserve"> large s</w:t>
            </w:r>
            <w:r w:rsidR="2F312E5C" w:rsidRPr="000B6313">
              <w:rPr>
                <w:color w:val="000000" w:themeColor="text1"/>
              </w:rPr>
              <w:t>c</w:t>
            </w:r>
            <w:r w:rsidR="10ABABAB" w:rsidRPr="000B6313">
              <w:rPr>
                <w:color w:val="000000" w:themeColor="text1"/>
              </w:rPr>
              <w:t xml:space="preserve">ale enquiries, both </w:t>
            </w:r>
            <w:r w:rsidR="5C9E655D" w:rsidRPr="000B6313">
              <w:rPr>
                <w:color w:val="000000" w:themeColor="text1"/>
              </w:rPr>
              <w:t xml:space="preserve">of which are </w:t>
            </w:r>
            <w:r w:rsidR="10ABABAB" w:rsidRPr="000B6313">
              <w:rPr>
                <w:color w:val="000000" w:themeColor="text1"/>
              </w:rPr>
              <w:t>across multiple settings</w:t>
            </w:r>
            <w:r w:rsidR="50AB708A" w:rsidRPr="000B6313">
              <w:rPr>
                <w:color w:val="000000" w:themeColor="text1"/>
              </w:rPr>
              <w:t xml:space="preserve">. </w:t>
            </w:r>
          </w:p>
          <w:p w14:paraId="37BBB726" w14:textId="6E8FBB4D" w:rsidR="00E133CF" w:rsidRPr="000B6313" w:rsidRDefault="701F47B2" w:rsidP="00E133CF">
            <w:pPr>
              <w:spacing w:after="0" w:line="240" w:lineRule="auto"/>
              <w:rPr>
                <w:color w:val="000000" w:themeColor="text1"/>
              </w:rPr>
            </w:pPr>
            <w:r w:rsidRPr="000B6313">
              <w:rPr>
                <w:i/>
                <w:iCs/>
                <w:color w:val="000000" w:themeColor="text1"/>
              </w:rPr>
              <w:t xml:space="preserve"> </w:t>
            </w:r>
          </w:p>
          <w:p w14:paraId="1B267EB7" w14:textId="3ECF290E" w:rsidR="00ED4E84" w:rsidRDefault="049B8F63" w:rsidP="24AF049D">
            <w:pPr>
              <w:spacing w:after="0" w:line="240" w:lineRule="auto"/>
              <w:rPr>
                <w:color w:val="000000" w:themeColor="text1"/>
              </w:rPr>
            </w:pPr>
            <w:r w:rsidRPr="000B6313">
              <w:rPr>
                <w:color w:val="000000" w:themeColor="text1"/>
              </w:rPr>
              <w:t>T</w:t>
            </w:r>
            <w:r w:rsidR="169A9611" w:rsidRPr="000B6313">
              <w:rPr>
                <w:color w:val="000000" w:themeColor="text1"/>
              </w:rPr>
              <w:t xml:space="preserve">he average </w:t>
            </w:r>
            <w:r w:rsidR="00591155" w:rsidRPr="000B6313">
              <w:rPr>
                <w:color w:val="000000" w:themeColor="text1"/>
              </w:rPr>
              <w:t xml:space="preserve">weekly </w:t>
            </w:r>
            <w:r w:rsidR="169A9611" w:rsidRPr="000B6313">
              <w:rPr>
                <w:color w:val="000000" w:themeColor="text1"/>
              </w:rPr>
              <w:t xml:space="preserve">rates </w:t>
            </w:r>
            <w:proofErr w:type="gramStart"/>
            <w:r w:rsidR="00591155" w:rsidRPr="000B6313">
              <w:rPr>
                <w:color w:val="000000" w:themeColor="text1"/>
              </w:rPr>
              <w:t>at</w:t>
            </w:r>
            <w:proofErr w:type="gramEnd"/>
            <w:r w:rsidR="00591155" w:rsidRPr="000B6313">
              <w:rPr>
                <w:color w:val="000000" w:themeColor="text1"/>
              </w:rPr>
              <w:t xml:space="preserve"> </w:t>
            </w:r>
            <w:r w:rsidR="00DB4A7E">
              <w:rPr>
                <w:color w:val="000000" w:themeColor="text1"/>
              </w:rPr>
              <w:t xml:space="preserve">February 2023 </w:t>
            </w:r>
            <w:r w:rsidR="5397A532" w:rsidRPr="000B6313">
              <w:rPr>
                <w:color w:val="000000" w:themeColor="text1"/>
              </w:rPr>
              <w:t xml:space="preserve">are provided </w:t>
            </w:r>
            <w:r w:rsidR="169A9611" w:rsidRPr="000B6313">
              <w:rPr>
                <w:color w:val="000000" w:themeColor="text1"/>
              </w:rPr>
              <w:t xml:space="preserve">in the </w:t>
            </w:r>
            <w:r w:rsidR="74872A8F" w:rsidRPr="000B6313">
              <w:rPr>
                <w:color w:val="000000" w:themeColor="text1"/>
              </w:rPr>
              <w:t xml:space="preserve">Table </w:t>
            </w:r>
            <w:r w:rsidR="002E59E1" w:rsidRPr="000B6313">
              <w:rPr>
                <w:color w:val="000000" w:themeColor="text1"/>
              </w:rPr>
              <w:t>4</w:t>
            </w:r>
            <w:r w:rsidR="74872A8F" w:rsidRPr="000B6313">
              <w:rPr>
                <w:color w:val="000000" w:themeColor="text1"/>
              </w:rPr>
              <w:t xml:space="preserve"> </w:t>
            </w:r>
            <w:r w:rsidR="169A9611" w:rsidRPr="000B6313">
              <w:rPr>
                <w:color w:val="000000" w:themeColor="text1"/>
              </w:rPr>
              <w:t>below</w:t>
            </w:r>
            <w:r w:rsidR="006B38A6" w:rsidRPr="000B6313">
              <w:rPr>
                <w:color w:val="000000" w:themeColor="text1"/>
              </w:rPr>
              <w:t xml:space="preserve"> and </w:t>
            </w:r>
            <w:r w:rsidR="006D371C" w:rsidRPr="000B6313">
              <w:rPr>
                <w:color w:val="000000" w:themeColor="text1"/>
              </w:rPr>
              <w:t>Figure</w:t>
            </w:r>
            <w:r w:rsidR="006B38A6" w:rsidRPr="000B6313">
              <w:rPr>
                <w:color w:val="000000" w:themeColor="text1"/>
              </w:rPr>
              <w:t xml:space="preserve"> </w:t>
            </w:r>
            <w:r w:rsidR="006D371C" w:rsidRPr="000B6313">
              <w:rPr>
                <w:color w:val="000000" w:themeColor="text1"/>
              </w:rPr>
              <w:t xml:space="preserve">2 </w:t>
            </w:r>
            <w:r w:rsidR="006B38A6" w:rsidRPr="000B6313">
              <w:rPr>
                <w:color w:val="000000" w:themeColor="text1"/>
              </w:rPr>
              <w:t>shows</w:t>
            </w:r>
            <w:r w:rsidR="00CE0217" w:rsidRPr="000B6313">
              <w:rPr>
                <w:color w:val="000000" w:themeColor="text1"/>
              </w:rPr>
              <w:t xml:space="preserve"> spot weekly rates over time</w:t>
            </w:r>
            <w:r w:rsidR="005D0BE7" w:rsidRPr="000B6313">
              <w:rPr>
                <w:color w:val="000000" w:themeColor="text1"/>
              </w:rPr>
              <w:t>.</w:t>
            </w:r>
          </w:p>
          <w:p w14:paraId="2C66E03E" w14:textId="01B5826B" w:rsidR="00C54A7F" w:rsidRDefault="00C54A7F" w:rsidP="24AF049D">
            <w:pPr>
              <w:spacing w:after="0" w:line="240" w:lineRule="auto"/>
              <w:rPr>
                <w:color w:val="000000" w:themeColor="text1"/>
              </w:rPr>
            </w:pPr>
          </w:p>
          <w:p w14:paraId="2B58F8D2" w14:textId="0F4E61BE" w:rsidR="00C54A7F" w:rsidRDefault="00C54A7F" w:rsidP="24AF049D">
            <w:pPr>
              <w:spacing w:after="0" w:line="240" w:lineRule="auto"/>
              <w:rPr>
                <w:color w:val="000000" w:themeColor="text1"/>
              </w:rPr>
            </w:pPr>
          </w:p>
          <w:p w14:paraId="4D086B26" w14:textId="57036253" w:rsidR="00C54A7F" w:rsidRDefault="00C54A7F" w:rsidP="24AF049D">
            <w:pPr>
              <w:spacing w:after="0" w:line="240" w:lineRule="auto"/>
              <w:rPr>
                <w:color w:val="000000" w:themeColor="text1"/>
              </w:rPr>
            </w:pPr>
          </w:p>
          <w:p w14:paraId="37DFFBF8" w14:textId="26D22F90" w:rsidR="00C54A7F" w:rsidRDefault="00C54A7F" w:rsidP="24AF049D">
            <w:pPr>
              <w:spacing w:after="0" w:line="240" w:lineRule="auto"/>
              <w:rPr>
                <w:color w:val="000000" w:themeColor="text1"/>
              </w:rPr>
            </w:pPr>
          </w:p>
          <w:p w14:paraId="68777250" w14:textId="49696072" w:rsidR="00C54A7F" w:rsidRDefault="00C54A7F" w:rsidP="24AF049D">
            <w:pPr>
              <w:spacing w:after="0" w:line="240" w:lineRule="auto"/>
              <w:rPr>
                <w:color w:val="000000" w:themeColor="text1"/>
              </w:rPr>
            </w:pPr>
          </w:p>
          <w:p w14:paraId="6AA5D924" w14:textId="77883136" w:rsidR="00C54A7F" w:rsidRDefault="00C54A7F" w:rsidP="24AF049D">
            <w:pPr>
              <w:spacing w:after="0" w:line="240" w:lineRule="auto"/>
              <w:rPr>
                <w:color w:val="000000" w:themeColor="text1"/>
              </w:rPr>
            </w:pPr>
          </w:p>
          <w:p w14:paraId="3ED4DD7A" w14:textId="07416AB7" w:rsidR="00C54A7F" w:rsidRDefault="00C54A7F" w:rsidP="24AF049D">
            <w:pPr>
              <w:spacing w:after="0" w:line="240" w:lineRule="auto"/>
              <w:rPr>
                <w:color w:val="000000" w:themeColor="text1"/>
              </w:rPr>
            </w:pPr>
          </w:p>
          <w:p w14:paraId="73A79657" w14:textId="7F3F79B8" w:rsidR="00C54A7F" w:rsidRDefault="00C54A7F" w:rsidP="24AF049D">
            <w:pPr>
              <w:spacing w:after="0" w:line="240" w:lineRule="auto"/>
              <w:rPr>
                <w:color w:val="000000" w:themeColor="text1"/>
              </w:rPr>
            </w:pPr>
          </w:p>
          <w:p w14:paraId="412D7A42" w14:textId="77777777" w:rsidR="00C54A7F" w:rsidRPr="00B7188C" w:rsidRDefault="00C54A7F" w:rsidP="24AF049D">
            <w:pPr>
              <w:spacing w:after="0" w:line="240" w:lineRule="auto"/>
              <w:rPr>
                <w:color w:val="000000" w:themeColor="text1"/>
              </w:rPr>
            </w:pPr>
          </w:p>
          <w:p w14:paraId="2F10D3F1" w14:textId="6E7F5702" w:rsidR="006D371C" w:rsidRPr="000B6313" w:rsidRDefault="006D371C" w:rsidP="24AF049D">
            <w:pPr>
              <w:spacing w:after="0" w:line="240" w:lineRule="auto"/>
              <w:rPr>
                <w:color w:val="FF0000"/>
              </w:rPr>
            </w:pPr>
          </w:p>
          <w:p w14:paraId="2639E1B6" w14:textId="7FA49824" w:rsidR="006D371C" w:rsidRPr="000B6313" w:rsidRDefault="006D371C" w:rsidP="24AF049D">
            <w:pPr>
              <w:spacing w:after="0" w:line="240" w:lineRule="auto"/>
              <w:rPr>
                <w:b/>
                <w:bCs/>
                <w:color w:val="000000" w:themeColor="text1"/>
              </w:rPr>
            </w:pPr>
            <w:r w:rsidRPr="000B6313">
              <w:rPr>
                <w:b/>
                <w:bCs/>
                <w:color w:val="000000" w:themeColor="text1"/>
              </w:rPr>
              <w:lastRenderedPageBreak/>
              <w:t xml:space="preserve">Table </w:t>
            </w:r>
            <w:r w:rsidR="002E59E1" w:rsidRPr="000B6313">
              <w:rPr>
                <w:b/>
                <w:bCs/>
                <w:color w:val="000000" w:themeColor="text1"/>
              </w:rPr>
              <w:t>4</w:t>
            </w:r>
            <w:r w:rsidRPr="000B6313">
              <w:rPr>
                <w:b/>
                <w:bCs/>
                <w:color w:val="000000" w:themeColor="text1"/>
              </w:rPr>
              <w:t xml:space="preserve">: </w:t>
            </w:r>
            <w:r w:rsidR="00591155" w:rsidRPr="000B6313">
              <w:rPr>
                <w:b/>
                <w:bCs/>
                <w:color w:val="000000" w:themeColor="text1"/>
              </w:rPr>
              <w:t xml:space="preserve">Weekly </w:t>
            </w:r>
            <w:r w:rsidRPr="000B6313">
              <w:rPr>
                <w:b/>
                <w:bCs/>
                <w:color w:val="000000" w:themeColor="text1"/>
              </w:rPr>
              <w:t xml:space="preserve">65+ residential and nursing prices </w:t>
            </w:r>
            <w:r w:rsidR="00591155" w:rsidRPr="000B6313">
              <w:rPr>
                <w:b/>
                <w:bCs/>
                <w:color w:val="000000" w:themeColor="text1"/>
              </w:rPr>
              <w:t xml:space="preserve">(block and spot </w:t>
            </w:r>
            <w:r w:rsidR="002C27BE">
              <w:rPr>
                <w:b/>
                <w:bCs/>
                <w:color w:val="000000" w:themeColor="text1"/>
              </w:rPr>
              <w:t>February</w:t>
            </w:r>
            <w:r w:rsidR="00591155" w:rsidRPr="000B6313">
              <w:rPr>
                <w:b/>
                <w:bCs/>
                <w:color w:val="000000" w:themeColor="text1"/>
              </w:rPr>
              <w:t xml:space="preserve"> 2022)</w:t>
            </w:r>
          </w:p>
          <w:p w14:paraId="509F203F" w14:textId="77777777" w:rsidR="00153D0F" w:rsidRDefault="00153D0F" w:rsidP="24AF049D">
            <w:pPr>
              <w:spacing w:after="0" w:line="240" w:lineRule="auto"/>
              <w:rPr>
                <w:b/>
                <w:i/>
                <w:color w:val="FF0000"/>
              </w:rPr>
            </w:pPr>
          </w:p>
          <w:tbl>
            <w:tblPr>
              <w:tblW w:w="0" w:type="auto"/>
              <w:tblCellMar>
                <w:left w:w="0" w:type="dxa"/>
                <w:right w:w="0" w:type="dxa"/>
              </w:tblCellMar>
              <w:tblLook w:val="04A0" w:firstRow="1" w:lastRow="0" w:firstColumn="1" w:lastColumn="0" w:noHBand="0" w:noVBand="1"/>
            </w:tblPr>
            <w:tblGrid>
              <w:gridCol w:w="2295"/>
              <w:gridCol w:w="1684"/>
              <w:gridCol w:w="1551"/>
              <w:gridCol w:w="1217"/>
              <w:gridCol w:w="1417"/>
            </w:tblGrid>
            <w:tr w:rsidR="002C27BE" w14:paraId="4068F7D6" w14:textId="77777777" w:rsidTr="002C27BE">
              <w:trPr>
                <w:trHeight w:val="1240"/>
              </w:trPr>
              <w:tc>
                <w:tcPr>
                  <w:tcW w:w="22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4672BAA" w14:textId="77777777" w:rsidR="002C27BE" w:rsidRDefault="002C27BE" w:rsidP="002C27BE">
                  <w:pPr>
                    <w:suppressAutoHyphens w:val="0"/>
                    <w:rPr>
                      <w:rFonts w:ascii="Times New Roman" w:hAnsi="Times New Roman" w:cs="Times New Roman"/>
                      <w:sz w:val="20"/>
                      <w:szCs w:val="20"/>
                    </w:rPr>
                  </w:pPr>
                </w:p>
              </w:tc>
              <w:tc>
                <w:tcPr>
                  <w:tcW w:w="16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02E02A" w14:textId="77777777" w:rsidR="002C27BE" w:rsidRDefault="002C27BE" w:rsidP="002C27BE">
                  <w:pPr>
                    <w:rPr>
                      <w:rFonts w:ascii="Calibri" w:eastAsiaTheme="minorHAnsi" w:hAnsi="Calibri" w:cs="Calibri"/>
                      <w:b/>
                      <w:bCs/>
                    </w:rPr>
                  </w:pPr>
                  <w:r>
                    <w:rPr>
                      <w:b/>
                      <w:bCs/>
                    </w:rPr>
                    <w:t>Residential</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E8912" w14:textId="77777777" w:rsidR="002C27BE" w:rsidRDefault="002C27BE" w:rsidP="002C27BE">
                  <w:pPr>
                    <w:rPr>
                      <w:b/>
                      <w:bCs/>
                    </w:rPr>
                  </w:pPr>
                  <w:r>
                    <w:rPr>
                      <w:b/>
                      <w:bCs/>
                    </w:rPr>
                    <w:t>Residential Dementia</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7BD3AE7" w14:textId="77777777" w:rsidR="002C27BE" w:rsidRDefault="002C27BE" w:rsidP="002C27BE">
                  <w:pPr>
                    <w:rPr>
                      <w:b/>
                      <w:bCs/>
                    </w:rPr>
                  </w:pPr>
                  <w:r>
                    <w:rPr>
                      <w:b/>
                      <w:bCs/>
                    </w:rPr>
                    <w:t>Nursing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96EB5" w14:textId="77777777" w:rsidR="002C27BE" w:rsidRDefault="002C27BE" w:rsidP="002C27BE">
                  <w:pPr>
                    <w:rPr>
                      <w:b/>
                      <w:bCs/>
                    </w:rPr>
                  </w:pPr>
                  <w:r>
                    <w:rPr>
                      <w:b/>
                      <w:bCs/>
                    </w:rPr>
                    <w:t>Nursing Dementia</w:t>
                  </w:r>
                </w:p>
              </w:tc>
            </w:tr>
            <w:tr w:rsidR="002C27BE" w14:paraId="6C4D2BE0" w14:textId="77777777" w:rsidTr="002C27BE">
              <w:trPr>
                <w:trHeight w:val="250"/>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F89DBE" w14:textId="77777777" w:rsidR="002C27BE" w:rsidRDefault="002C27BE" w:rsidP="002C27BE">
                  <w:r>
                    <w:t>Median</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14:paraId="7DC8430F" w14:textId="77777777" w:rsidR="002C27BE" w:rsidRDefault="002C27BE" w:rsidP="002C27BE">
                  <w:r>
                    <w:t xml:space="preserve">           910.87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hideMark/>
                </w:tcPr>
                <w:p w14:paraId="06C189C5" w14:textId="77777777" w:rsidR="002C27BE" w:rsidRDefault="002C27BE" w:rsidP="002C27BE">
                  <w:r>
                    <w:t xml:space="preserve">         919.28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hideMark/>
                </w:tcPr>
                <w:p w14:paraId="49CEECA9" w14:textId="77777777" w:rsidR="002C27BE" w:rsidRDefault="002C27BE" w:rsidP="002C27BE">
                  <w:r>
                    <w:t xml:space="preserve">    904.45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259DBAC" w14:textId="77777777" w:rsidR="002C27BE" w:rsidRDefault="002C27BE" w:rsidP="002C27BE">
                  <w:r>
                    <w:t xml:space="preserve">    1,028.69 </w:t>
                  </w:r>
                </w:p>
              </w:tc>
            </w:tr>
            <w:tr w:rsidR="002C27BE" w14:paraId="6EC16406" w14:textId="77777777" w:rsidTr="002C27BE">
              <w:trPr>
                <w:trHeight w:val="250"/>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991AC5" w14:textId="77777777" w:rsidR="002C27BE" w:rsidRDefault="002C27BE" w:rsidP="002C27BE">
                  <w:r>
                    <w:t>Upper Quartile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14:paraId="77A4F511" w14:textId="77777777" w:rsidR="002C27BE" w:rsidRDefault="002C27BE" w:rsidP="002C27BE">
                  <w:r>
                    <w:t xml:space="preserve">        1,200.00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hideMark/>
                </w:tcPr>
                <w:p w14:paraId="0E5A96E6" w14:textId="77777777" w:rsidR="002C27BE" w:rsidRDefault="002C27BE" w:rsidP="002C27BE">
                  <w:r>
                    <w:t xml:space="preserve">      1,220.55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hideMark/>
                </w:tcPr>
                <w:p w14:paraId="445BA3A3" w14:textId="77777777" w:rsidR="002C27BE" w:rsidRDefault="002C27BE" w:rsidP="002C27BE">
                  <w:r>
                    <w:t xml:space="preserve"> 1,240.81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AA172E5" w14:textId="77777777" w:rsidR="002C27BE" w:rsidRDefault="002C27BE" w:rsidP="002C27BE">
                  <w:r>
                    <w:t xml:space="preserve">    1,300.00 </w:t>
                  </w:r>
                </w:p>
              </w:tc>
            </w:tr>
            <w:tr w:rsidR="002C27BE" w14:paraId="23F63104" w14:textId="77777777" w:rsidTr="002C27BE">
              <w:trPr>
                <w:trHeight w:val="250"/>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273A29" w14:textId="77777777" w:rsidR="002C27BE" w:rsidRDefault="002C27BE" w:rsidP="002C27BE">
                  <w:r>
                    <w:t>Lower Quartile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14:paraId="57EEF3A9" w14:textId="77777777" w:rsidR="002C27BE" w:rsidRDefault="002C27BE" w:rsidP="002C27BE">
                  <w:r>
                    <w:t xml:space="preserve">           760.41 </w:t>
                  </w:r>
                </w:p>
              </w:tc>
              <w:tc>
                <w:tcPr>
                  <w:tcW w:w="1551" w:type="dxa"/>
                  <w:tcBorders>
                    <w:top w:val="nil"/>
                    <w:left w:val="nil"/>
                    <w:bottom w:val="single" w:sz="8" w:space="0" w:color="auto"/>
                    <w:right w:val="single" w:sz="8" w:space="0" w:color="auto"/>
                  </w:tcBorders>
                  <w:noWrap/>
                  <w:tcMar>
                    <w:top w:w="0" w:type="dxa"/>
                    <w:left w:w="108" w:type="dxa"/>
                    <w:bottom w:w="0" w:type="dxa"/>
                    <w:right w:w="108" w:type="dxa"/>
                  </w:tcMar>
                  <w:hideMark/>
                </w:tcPr>
                <w:p w14:paraId="05068027" w14:textId="77777777" w:rsidR="002C27BE" w:rsidRDefault="002C27BE" w:rsidP="002C27BE">
                  <w:r>
                    <w:t xml:space="preserve">         830.27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hideMark/>
                </w:tcPr>
                <w:p w14:paraId="656EFEE7" w14:textId="77777777" w:rsidR="002C27BE" w:rsidRDefault="002C27BE" w:rsidP="002C27BE">
                  <w:r>
                    <w:t xml:space="preserve">    767.76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E35E099" w14:textId="77777777" w:rsidR="002C27BE" w:rsidRDefault="002C27BE" w:rsidP="002C27BE">
                  <w:r>
                    <w:t xml:space="preserve">       870.66 </w:t>
                  </w:r>
                </w:p>
              </w:tc>
            </w:tr>
          </w:tbl>
          <w:p w14:paraId="0B9F0FAF" w14:textId="5FA650E2" w:rsidR="005D24CB" w:rsidRPr="000B6313" w:rsidRDefault="005D24CB">
            <w:pPr>
              <w:spacing w:after="0" w:line="240" w:lineRule="auto"/>
              <w:rPr>
                <w:color w:val="44546A" w:themeColor="text2"/>
              </w:rPr>
            </w:pPr>
          </w:p>
          <w:p w14:paraId="0A79E1CB" w14:textId="5727B0A0" w:rsidR="00D07D2A" w:rsidRPr="000B6313" w:rsidRDefault="00D07D2A">
            <w:pPr>
              <w:spacing w:after="0" w:line="240" w:lineRule="auto"/>
              <w:rPr>
                <w:b/>
                <w:bCs/>
                <w:color w:val="44546A" w:themeColor="text2"/>
              </w:rPr>
            </w:pPr>
            <w:r w:rsidRPr="000B6313">
              <w:rPr>
                <w:b/>
                <w:bCs/>
                <w:color w:val="44546A" w:themeColor="text2"/>
              </w:rPr>
              <w:t>Figure 2: 65+ Spot weekly rates</w:t>
            </w:r>
          </w:p>
          <w:p w14:paraId="28AFDDAB" w14:textId="77777777" w:rsidR="00D07D2A" w:rsidRPr="000B6313" w:rsidRDefault="00D07D2A">
            <w:pPr>
              <w:spacing w:after="0" w:line="240" w:lineRule="auto"/>
              <w:rPr>
                <w:color w:val="44546A" w:themeColor="text2"/>
              </w:rPr>
            </w:pPr>
          </w:p>
          <w:p w14:paraId="75FF0BF7" w14:textId="47600A1B" w:rsidR="00D648F6" w:rsidRPr="000B6313" w:rsidRDefault="00D07D2A" w:rsidP="24AF049D">
            <w:pPr>
              <w:spacing w:after="0" w:line="240" w:lineRule="auto"/>
              <w:rPr>
                <w:color w:val="FF0000"/>
              </w:rPr>
            </w:pPr>
            <w:r w:rsidRPr="000B6313">
              <w:t xml:space="preserve"> </w:t>
            </w:r>
            <w:r w:rsidR="002B2348">
              <w:rPr>
                <w:noProof/>
              </w:rPr>
              <w:drawing>
                <wp:inline distT="0" distB="0" distL="0" distR="0" wp14:anchorId="06F10DE7" wp14:editId="169403BC">
                  <wp:extent cx="5731510" cy="3437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1510" cy="3437890"/>
                          </a:xfrm>
                          <a:prstGeom prst="rect">
                            <a:avLst/>
                          </a:prstGeom>
                          <a:noFill/>
                          <a:ln>
                            <a:noFill/>
                          </a:ln>
                        </pic:spPr>
                      </pic:pic>
                    </a:graphicData>
                  </a:graphic>
                </wp:inline>
              </w:drawing>
            </w:r>
          </w:p>
          <w:p w14:paraId="4296A1A4" w14:textId="0B335CFB" w:rsidR="088D4456" w:rsidRPr="000B6313" w:rsidRDefault="088D4456" w:rsidP="088D4456">
            <w:pPr>
              <w:spacing w:after="0" w:line="240" w:lineRule="auto"/>
              <w:rPr>
                <w:color w:val="FF0000"/>
              </w:rPr>
            </w:pPr>
          </w:p>
          <w:p w14:paraId="0F2F10EF" w14:textId="77777777" w:rsidR="00D648F6" w:rsidRPr="000B6313" w:rsidRDefault="00D648F6" w:rsidP="24AF049D">
            <w:pPr>
              <w:spacing w:after="0" w:line="240" w:lineRule="auto"/>
              <w:rPr>
                <w:color w:val="000000" w:themeColor="text1"/>
              </w:rPr>
            </w:pPr>
          </w:p>
          <w:p w14:paraId="4AFE75CB" w14:textId="40E5E542" w:rsidR="005D24CB" w:rsidRPr="000B6313" w:rsidRDefault="40F18DC9" w:rsidP="24AF049D">
            <w:pPr>
              <w:spacing w:after="0" w:line="240" w:lineRule="auto"/>
              <w:rPr>
                <w:color w:val="000000" w:themeColor="text1"/>
              </w:rPr>
            </w:pPr>
            <w:r w:rsidRPr="000B6313">
              <w:rPr>
                <w:color w:val="000000" w:themeColor="text1"/>
              </w:rPr>
              <w:t xml:space="preserve">Due </w:t>
            </w:r>
            <w:r w:rsidR="004C2552" w:rsidRPr="000B6313">
              <w:rPr>
                <w:color w:val="000000" w:themeColor="text1"/>
              </w:rPr>
              <w:t>to the heavy reliance on spot purchasing</w:t>
            </w:r>
            <w:r w:rsidRPr="000B6313">
              <w:rPr>
                <w:color w:val="000000" w:themeColor="text1"/>
              </w:rPr>
              <w:t xml:space="preserve">, average prices are volatile </w:t>
            </w:r>
            <w:r w:rsidR="005A2B56" w:rsidRPr="000B6313">
              <w:rPr>
                <w:color w:val="000000" w:themeColor="text1"/>
              </w:rPr>
              <w:t>but overall</w:t>
            </w:r>
            <w:r w:rsidR="00277319" w:rsidRPr="000B6313">
              <w:rPr>
                <w:color w:val="000000" w:themeColor="text1"/>
              </w:rPr>
              <w:t xml:space="preserve"> Figure 2 shows stead</w:t>
            </w:r>
            <w:r w:rsidR="001632C7" w:rsidRPr="000B6313">
              <w:rPr>
                <w:color w:val="000000" w:themeColor="text1"/>
              </w:rPr>
              <w:t>y increases through</w:t>
            </w:r>
            <w:r w:rsidRPr="000B6313">
              <w:rPr>
                <w:color w:val="000000" w:themeColor="text1"/>
              </w:rPr>
              <w:t xml:space="preserve"> this financial year</w:t>
            </w:r>
            <w:r w:rsidR="00716C81" w:rsidRPr="000B6313">
              <w:rPr>
                <w:color w:val="000000" w:themeColor="text1"/>
              </w:rPr>
              <w:t xml:space="preserve">. Emerging analysis </w:t>
            </w:r>
            <w:r w:rsidR="002658A0" w:rsidRPr="000B6313">
              <w:rPr>
                <w:color w:val="000000" w:themeColor="text1"/>
              </w:rPr>
              <w:t xml:space="preserve">is starting to reveal the level of </w:t>
            </w:r>
            <w:r w:rsidR="008A2F71" w:rsidRPr="000B6313">
              <w:rPr>
                <w:color w:val="000000" w:themeColor="text1"/>
              </w:rPr>
              <w:t>cost increase attached to new packages of care</w:t>
            </w:r>
            <w:r w:rsidR="001632C7" w:rsidRPr="000B6313">
              <w:rPr>
                <w:color w:val="000000" w:themeColor="text1"/>
              </w:rPr>
              <w:t>; i</w:t>
            </w:r>
            <w:r w:rsidR="008A2F71" w:rsidRPr="000B6313">
              <w:rPr>
                <w:color w:val="000000" w:themeColor="text1"/>
              </w:rPr>
              <w:t>n November 2022, the cost of new 65+ residential packages was 4% higher than in September 2022, and the cost of</w:t>
            </w:r>
            <w:r w:rsidR="005B1E9C" w:rsidRPr="000B6313">
              <w:rPr>
                <w:color w:val="000000" w:themeColor="text1"/>
              </w:rPr>
              <w:t xml:space="preserve"> 65+ nursing packages was 18.7% higher. </w:t>
            </w:r>
            <w:r w:rsidR="6D5CDAF8" w:rsidRPr="000B6313">
              <w:rPr>
                <w:color w:val="000000" w:themeColor="text1"/>
              </w:rPr>
              <w:t xml:space="preserve">Addressing </w:t>
            </w:r>
            <w:r w:rsidR="00277319" w:rsidRPr="000B6313">
              <w:rPr>
                <w:color w:val="000000" w:themeColor="text1"/>
              </w:rPr>
              <w:t>the stability of prices</w:t>
            </w:r>
            <w:r w:rsidR="6D5CDAF8" w:rsidRPr="000B6313">
              <w:rPr>
                <w:color w:val="000000" w:themeColor="text1"/>
              </w:rPr>
              <w:t xml:space="preserve"> for the benefit of both providers and the Council is an additional reason to develop a more strategic approach to commissioning care home services. </w:t>
            </w:r>
          </w:p>
          <w:p w14:paraId="0B9F0FB6" w14:textId="3F26B51A" w:rsidR="006B67C8" w:rsidRPr="000B6313" w:rsidRDefault="006B67C8" w:rsidP="24AF049D">
            <w:pPr>
              <w:spacing w:after="0" w:line="240" w:lineRule="auto"/>
              <w:rPr>
                <w:color w:val="000000" w:themeColor="text1"/>
              </w:rPr>
            </w:pPr>
          </w:p>
        </w:tc>
      </w:tr>
      <w:tr w:rsidR="005D24CB" w:rsidRPr="000B6313" w14:paraId="0B9F0FB9"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5775C" w14:textId="77777777" w:rsidR="005D24CB" w:rsidRPr="00B56DA0" w:rsidRDefault="000B27B8">
            <w:pPr>
              <w:pStyle w:val="ListParagraph"/>
              <w:numPr>
                <w:ilvl w:val="0"/>
                <w:numId w:val="4"/>
              </w:numPr>
              <w:spacing w:after="0" w:line="240" w:lineRule="auto"/>
            </w:pPr>
            <w:r w:rsidRPr="00B56DA0">
              <w:lastRenderedPageBreak/>
              <w:t>Assessment of current sustainability of the 18+ domiciliary care market</w:t>
            </w:r>
          </w:p>
          <w:p w14:paraId="0B9F0FB8" w14:textId="5BB9CF60" w:rsidR="005A2B56" w:rsidRPr="000B6313" w:rsidRDefault="005A2B56" w:rsidP="005A2B56">
            <w:pPr>
              <w:pStyle w:val="ListParagraph"/>
              <w:spacing w:after="0" w:line="240" w:lineRule="auto"/>
              <w:rPr>
                <w:b/>
                <w:bCs/>
              </w:rPr>
            </w:pPr>
          </w:p>
        </w:tc>
      </w:tr>
      <w:tr w:rsidR="005D24CB" w:rsidRPr="000B6313" w14:paraId="0B9F0FD7"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65159" w14:textId="011DE6EA" w:rsidR="00C72FD2" w:rsidRPr="000B6313" w:rsidRDefault="3058CC73" w:rsidP="0099255D">
            <w:pPr>
              <w:spacing w:after="0" w:line="240" w:lineRule="auto"/>
            </w:pPr>
            <w:r w:rsidRPr="000B6313">
              <w:t xml:space="preserve">Domiciliary </w:t>
            </w:r>
            <w:r w:rsidR="0836DE29" w:rsidRPr="000B6313">
              <w:t>c</w:t>
            </w:r>
            <w:r w:rsidRPr="000B6313">
              <w:t>are</w:t>
            </w:r>
            <w:r w:rsidR="6C383368" w:rsidRPr="000B6313">
              <w:t xml:space="preserve"> gross expenditure for </w:t>
            </w:r>
            <w:r w:rsidR="001B2968" w:rsidRPr="000B6313">
              <w:t>20</w:t>
            </w:r>
            <w:r w:rsidR="6C383368" w:rsidRPr="000B6313">
              <w:t>21/22 was £</w:t>
            </w:r>
            <w:r w:rsidRPr="000B6313">
              <w:t>17.9</w:t>
            </w:r>
            <w:r w:rsidR="6C383368" w:rsidRPr="000B6313">
              <w:t>m</w:t>
            </w:r>
            <w:r w:rsidR="3D2ACB47" w:rsidRPr="000B6313">
              <w:t xml:space="preserve">. There are 86 providers registered </w:t>
            </w:r>
            <w:r w:rsidR="1E1FF4DE" w:rsidRPr="000B6313">
              <w:t xml:space="preserve">in Buckinghamshire to deliver domiciliary care services, although not all of them may deliver locally. Buckinghamshire Council </w:t>
            </w:r>
            <w:r w:rsidR="70D3495F" w:rsidRPr="000B6313">
              <w:t>commissions services from 4</w:t>
            </w:r>
            <w:r w:rsidR="000B52EE" w:rsidRPr="000B6313">
              <w:t>1</w:t>
            </w:r>
            <w:r w:rsidR="64C44EEC" w:rsidRPr="000B6313">
              <w:t xml:space="preserve"> of </w:t>
            </w:r>
            <w:r w:rsidR="64C44EEC" w:rsidRPr="000B6313">
              <w:lastRenderedPageBreak/>
              <w:t>these providers</w:t>
            </w:r>
            <w:r w:rsidR="471E5C6B" w:rsidRPr="000B6313">
              <w:t xml:space="preserve">. </w:t>
            </w:r>
            <w:r w:rsidR="6C383368" w:rsidRPr="000B6313">
              <w:t xml:space="preserve">There are an additional 27 </w:t>
            </w:r>
            <w:r w:rsidR="68879D68" w:rsidRPr="000B6313">
              <w:t>commission</w:t>
            </w:r>
            <w:r w:rsidR="3EACB664" w:rsidRPr="000B6313">
              <w:t>ed</w:t>
            </w:r>
            <w:r w:rsidR="68879D68" w:rsidRPr="000B6313">
              <w:t xml:space="preserve"> </w:t>
            </w:r>
            <w:r w:rsidR="6C383368" w:rsidRPr="000B6313">
              <w:t xml:space="preserve">providers </w:t>
            </w:r>
            <w:r w:rsidR="68879D68" w:rsidRPr="000B6313">
              <w:t>who are</w:t>
            </w:r>
            <w:r w:rsidR="4C1EA22A" w:rsidRPr="000B6313">
              <w:t xml:space="preserve"> based </w:t>
            </w:r>
            <w:r w:rsidR="6C383368" w:rsidRPr="000B6313">
              <w:t>out of county</w:t>
            </w:r>
            <w:r w:rsidR="498B5199" w:rsidRPr="000B6313">
              <w:t xml:space="preserve"> but deliver care into Buckinghamshire</w:t>
            </w:r>
            <w:r w:rsidR="6C383368" w:rsidRPr="000B6313">
              <w:t xml:space="preserve">. </w:t>
            </w:r>
            <w:r w:rsidR="471E5C6B" w:rsidRPr="000B6313">
              <w:t>There is a diverse market, with a small number of</w:t>
            </w:r>
            <w:r w:rsidR="48658A23" w:rsidRPr="000B6313">
              <w:t xml:space="preserve"> </w:t>
            </w:r>
            <w:r w:rsidR="471E5C6B" w:rsidRPr="000B6313">
              <w:t>national providers</w:t>
            </w:r>
            <w:r w:rsidR="48658A23" w:rsidRPr="000B6313">
              <w:t xml:space="preserve"> and</w:t>
            </w:r>
            <w:r w:rsidR="471E5C6B" w:rsidRPr="000B6313">
              <w:t xml:space="preserve"> a high level of SME and franchise providers.</w:t>
            </w:r>
          </w:p>
          <w:p w14:paraId="431F99F9" w14:textId="77777777" w:rsidR="00C72FD2" w:rsidRPr="000B6313" w:rsidRDefault="00C72FD2" w:rsidP="0099255D">
            <w:pPr>
              <w:spacing w:after="0" w:line="240" w:lineRule="auto"/>
            </w:pPr>
          </w:p>
          <w:p w14:paraId="40A7CD04" w14:textId="3B05C1DA" w:rsidR="001B2968" w:rsidRPr="000B6313" w:rsidRDefault="167AB685" w:rsidP="00946D97">
            <w:pPr>
              <w:spacing w:after="0" w:line="240" w:lineRule="auto"/>
              <w:rPr>
                <w:color w:val="000000" w:themeColor="text1"/>
              </w:rPr>
            </w:pPr>
            <w:r w:rsidRPr="000B6313">
              <w:t xml:space="preserve">Because of flexible nature of the </w:t>
            </w:r>
            <w:r w:rsidR="5ACF4E0D" w:rsidRPr="000B6313">
              <w:t>d</w:t>
            </w:r>
            <w:r w:rsidR="1F038FED" w:rsidRPr="000B6313">
              <w:t>omiciliary</w:t>
            </w:r>
            <w:r w:rsidRPr="000B6313">
              <w:t xml:space="preserve"> </w:t>
            </w:r>
            <w:r w:rsidR="600414C0" w:rsidRPr="000B6313">
              <w:t>c</w:t>
            </w:r>
            <w:r w:rsidRPr="000B6313">
              <w:t xml:space="preserve">are provider working model, there is a challenge to understand </w:t>
            </w:r>
            <w:r w:rsidR="1A182AEB" w:rsidRPr="000B6313">
              <w:t xml:space="preserve">capacity in terms of </w:t>
            </w:r>
            <w:r w:rsidRPr="000B6313">
              <w:t>number of h</w:t>
            </w:r>
            <w:r w:rsidR="04D40A3D" w:rsidRPr="000B6313">
              <w:t>ou</w:t>
            </w:r>
            <w:r w:rsidR="23AB9B82" w:rsidRPr="000B6313">
              <w:t>r</w:t>
            </w:r>
            <w:r w:rsidR="04D40A3D" w:rsidRPr="000B6313">
              <w:t>s</w:t>
            </w:r>
            <w:r w:rsidRPr="000B6313">
              <w:t xml:space="preserve"> of care </w:t>
            </w:r>
            <w:r w:rsidR="1A182AEB" w:rsidRPr="000B6313">
              <w:t>available</w:t>
            </w:r>
            <w:r w:rsidRPr="000B6313">
              <w:t xml:space="preserve">. </w:t>
            </w:r>
            <w:r w:rsidR="29C9D8BD" w:rsidRPr="000B6313">
              <w:t>It is estimated that of the current provision</w:t>
            </w:r>
            <w:r w:rsidRPr="000B6313">
              <w:t>, Buckinghamshire Council commission</w:t>
            </w:r>
            <w:r w:rsidR="283D3458" w:rsidRPr="000B6313">
              <w:t>s</w:t>
            </w:r>
            <w:r w:rsidRPr="000B6313">
              <w:t xml:space="preserve"> 47%</w:t>
            </w:r>
            <w:r w:rsidR="58FF0088" w:rsidRPr="000B6313">
              <w:t xml:space="preserve"> for local authority clients</w:t>
            </w:r>
            <w:r w:rsidRPr="000B6313">
              <w:t xml:space="preserve">, with the remainder commissioned </w:t>
            </w:r>
            <w:r w:rsidR="23909641" w:rsidRPr="000B6313">
              <w:t xml:space="preserve">by the Council on behalf of the </w:t>
            </w:r>
            <w:r w:rsidR="00CD4601">
              <w:t>Integrated Commissioning Board</w:t>
            </w:r>
            <w:r w:rsidRPr="000B6313">
              <w:t xml:space="preserve"> or</w:t>
            </w:r>
            <w:r w:rsidR="00051EF9" w:rsidRPr="000B6313">
              <w:t xml:space="preserve"> used by</w:t>
            </w:r>
            <w:r w:rsidR="3DE2BCAD" w:rsidRPr="000B6313">
              <w:t xml:space="preserve"> </w:t>
            </w:r>
            <w:r w:rsidRPr="000B6313">
              <w:t xml:space="preserve">self-funders. </w:t>
            </w:r>
            <w:r w:rsidR="0AEDE296" w:rsidRPr="000B6313">
              <w:t xml:space="preserve">The use of domiciliary care </w:t>
            </w:r>
            <w:r w:rsidR="0AEDE296" w:rsidRPr="000B6313">
              <w:rPr>
                <w:color w:val="000000" w:themeColor="text1"/>
              </w:rPr>
              <w:t>providers for Discharge to Assess (D2A) is driving demand and has impacted on price and capacity in the wider market.</w:t>
            </w:r>
          </w:p>
          <w:p w14:paraId="42F4D8E1" w14:textId="463115F1" w:rsidR="00BD6D83" w:rsidRPr="000B6313" w:rsidRDefault="00BD6D83" w:rsidP="00946D97">
            <w:pPr>
              <w:spacing w:after="0" w:line="240" w:lineRule="auto"/>
            </w:pPr>
          </w:p>
          <w:p w14:paraId="0D8E8387" w14:textId="5A613B1A" w:rsidR="00490476" w:rsidRPr="000B6313" w:rsidRDefault="55B5CFAD" w:rsidP="24AF049D">
            <w:pPr>
              <w:spacing w:after="0" w:line="240" w:lineRule="auto"/>
              <w:rPr>
                <w:color w:val="000000" w:themeColor="text1"/>
              </w:rPr>
            </w:pPr>
            <w:r w:rsidRPr="000B6313">
              <w:t xml:space="preserve">There is a combination of </w:t>
            </w:r>
            <w:r w:rsidR="000444EE" w:rsidRPr="000B6313">
              <w:t>b</w:t>
            </w:r>
            <w:r w:rsidRPr="000B6313">
              <w:t xml:space="preserve">lock and </w:t>
            </w:r>
            <w:r w:rsidR="000444EE" w:rsidRPr="000B6313">
              <w:t>s</w:t>
            </w:r>
            <w:r w:rsidRPr="000B6313">
              <w:t xml:space="preserve">pot contracts for </w:t>
            </w:r>
            <w:r w:rsidR="0022765F" w:rsidRPr="000B6313">
              <w:t xml:space="preserve">packages </w:t>
            </w:r>
            <w:r w:rsidRPr="000B6313">
              <w:t>commissioned</w:t>
            </w:r>
            <w:r w:rsidR="0022765F" w:rsidRPr="000B6313">
              <w:t xml:space="preserve"> by Buckinghamshire Council</w:t>
            </w:r>
            <w:r w:rsidR="3AB927FC" w:rsidRPr="000B6313">
              <w:t>.</w:t>
            </w:r>
            <w:r w:rsidR="0022765F" w:rsidRPr="000B6313">
              <w:t xml:space="preserve"> </w:t>
            </w:r>
            <w:r w:rsidR="3AB927FC" w:rsidRPr="000B6313">
              <w:t xml:space="preserve">There is block provision with </w:t>
            </w:r>
            <w:r w:rsidRPr="000B6313">
              <w:t>3 providers</w:t>
            </w:r>
            <w:r w:rsidR="59216813" w:rsidRPr="000B6313">
              <w:t>, with some of this care sub-contracted</w:t>
            </w:r>
            <w:r w:rsidRPr="000B6313">
              <w:t xml:space="preserve">. </w:t>
            </w:r>
            <w:r w:rsidR="000444EE" w:rsidRPr="000B6313">
              <w:t>H</w:t>
            </w:r>
            <w:r w:rsidRPr="000B6313">
              <w:rPr>
                <w:color w:val="000000" w:themeColor="text1"/>
              </w:rPr>
              <w:t>istorically</w:t>
            </w:r>
            <w:r w:rsidR="5DBFF485" w:rsidRPr="000B6313">
              <w:rPr>
                <w:color w:val="000000" w:themeColor="text1"/>
              </w:rPr>
              <w:t>,</w:t>
            </w:r>
            <w:r w:rsidRPr="000B6313">
              <w:rPr>
                <w:color w:val="000000" w:themeColor="text1"/>
              </w:rPr>
              <w:t xml:space="preserve"> obtaining sufficient care </w:t>
            </w:r>
            <w:r w:rsidR="000444EE" w:rsidRPr="000B6313">
              <w:rPr>
                <w:color w:val="000000" w:themeColor="text1"/>
              </w:rPr>
              <w:t xml:space="preserve">has been </w:t>
            </w:r>
            <w:r w:rsidRPr="000B6313">
              <w:rPr>
                <w:color w:val="000000" w:themeColor="text1"/>
              </w:rPr>
              <w:t>challeng</w:t>
            </w:r>
            <w:r w:rsidR="000444EE" w:rsidRPr="000B6313">
              <w:rPr>
                <w:color w:val="000000" w:themeColor="text1"/>
              </w:rPr>
              <w:t>ing</w:t>
            </w:r>
            <w:r w:rsidRPr="000B6313">
              <w:rPr>
                <w:color w:val="000000" w:themeColor="text1"/>
              </w:rPr>
              <w:t xml:space="preserve"> in some rural areas</w:t>
            </w:r>
            <w:r w:rsidR="0045775C" w:rsidRPr="000B6313">
              <w:rPr>
                <w:color w:val="000000" w:themeColor="text1"/>
              </w:rPr>
              <w:t xml:space="preserve">. </w:t>
            </w:r>
            <w:r w:rsidR="2342A65A" w:rsidRPr="000B6313">
              <w:rPr>
                <w:color w:val="000000" w:themeColor="text1"/>
              </w:rPr>
              <w:t>H</w:t>
            </w:r>
            <w:r w:rsidR="2EBF87F2" w:rsidRPr="000B6313">
              <w:rPr>
                <w:color w:val="000000" w:themeColor="text1"/>
              </w:rPr>
              <w:t>owever due to increasing demand,</w:t>
            </w:r>
            <w:r w:rsidRPr="000B6313">
              <w:rPr>
                <w:color w:val="000000" w:themeColor="text1"/>
              </w:rPr>
              <w:t xml:space="preserve"> capacity has </w:t>
            </w:r>
            <w:r w:rsidR="0045775C" w:rsidRPr="000B6313">
              <w:rPr>
                <w:color w:val="000000" w:themeColor="text1"/>
              </w:rPr>
              <w:t xml:space="preserve">become a challenge across many parts of the </w:t>
            </w:r>
            <w:r w:rsidR="006B6D25" w:rsidRPr="000B6313">
              <w:rPr>
                <w:color w:val="000000" w:themeColor="text1"/>
              </w:rPr>
              <w:t>county</w:t>
            </w:r>
            <w:r w:rsidR="009A5F22" w:rsidRPr="000B6313">
              <w:rPr>
                <w:color w:val="000000" w:themeColor="text1"/>
              </w:rPr>
              <w:t xml:space="preserve">, with </w:t>
            </w:r>
            <w:proofErr w:type="gramStart"/>
            <w:r w:rsidR="009A5F22" w:rsidRPr="000B6313">
              <w:rPr>
                <w:color w:val="000000" w:themeColor="text1"/>
              </w:rPr>
              <w:t>particular challenges</w:t>
            </w:r>
            <w:proofErr w:type="gramEnd"/>
            <w:r w:rsidR="009A5F22" w:rsidRPr="000B6313">
              <w:rPr>
                <w:color w:val="000000" w:themeColor="text1"/>
              </w:rPr>
              <w:t xml:space="preserve"> around </w:t>
            </w:r>
            <w:r w:rsidR="00490476" w:rsidRPr="000B6313">
              <w:rPr>
                <w:color w:val="000000" w:themeColor="text1"/>
              </w:rPr>
              <w:t xml:space="preserve">Amersham, Chesham, The </w:t>
            </w:r>
            <w:proofErr w:type="spellStart"/>
            <w:r w:rsidR="00490476" w:rsidRPr="000B6313">
              <w:rPr>
                <w:color w:val="000000" w:themeColor="text1"/>
              </w:rPr>
              <w:t>Chalfonts</w:t>
            </w:r>
            <w:proofErr w:type="spellEnd"/>
            <w:r w:rsidR="00490476" w:rsidRPr="000B6313">
              <w:rPr>
                <w:color w:val="000000" w:themeColor="text1"/>
              </w:rPr>
              <w:t xml:space="preserve"> and Gerrards Cros</w:t>
            </w:r>
            <w:r w:rsidR="00701075" w:rsidRPr="000B6313">
              <w:rPr>
                <w:color w:val="000000" w:themeColor="text1"/>
              </w:rPr>
              <w:t xml:space="preserve">s, some of our borders and more rural areas. </w:t>
            </w:r>
          </w:p>
          <w:p w14:paraId="57F426AE" w14:textId="77777777" w:rsidR="00490476" w:rsidRPr="000B6313" w:rsidRDefault="00490476" w:rsidP="24AF049D">
            <w:pPr>
              <w:spacing w:after="0" w:line="240" w:lineRule="auto"/>
              <w:rPr>
                <w:color w:val="000000" w:themeColor="text1"/>
              </w:rPr>
            </w:pPr>
          </w:p>
          <w:p w14:paraId="555EC171" w14:textId="35D59FA3" w:rsidR="2F17D848" w:rsidRPr="000B6313" w:rsidRDefault="55B5CFAD" w:rsidP="24AF049D">
            <w:pPr>
              <w:spacing w:after="0" w:line="240" w:lineRule="auto"/>
              <w:rPr>
                <w:color w:val="000000" w:themeColor="text1"/>
              </w:rPr>
            </w:pPr>
            <w:r w:rsidRPr="000B6313">
              <w:t>There is variation</w:t>
            </w:r>
            <w:r w:rsidR="006B6D25" w:rsidRPr="000B6313">
              <w:t xml:space="preserve"> in prices</w:t>
            </w:r>
            <w:r w:rsidRPr="000B6313">
              <w:t xml:space="preserve"> across the market, </w:t>
            </w:r>
            <w:r w:rsidR="2FFDFD47" w:rsidRPr="000B6313">
              <w:t xml:space="preserve">which </w:t>
            </w:r>
            <w:proofErr w:type="gramStart"/>
            <w:r w:rsidR="2FFDFD47" w:rsidRPr="000B6313">
              <w:t>is a reflection of</w:t>
            </w:r>
            <w:proofErr w:type="gramEnd"/>
            <w:r w:rsidR="2FFDFD47" w:rsidRPr="000B6313">
              <w:t xml:space="preserve"> both the mixed model of block and spot commissioning and potential </w:t>
            </w:r>
            <w:r w:rsidRPr="000B6313">
              <w:t xml:space="preserve">market volatility. </w:t>
            </w:r>
            <w:r w:rsidR="00701075" w:rsidRPr="000B6313">
              <w:t xml:space="preserve">Following a recent fee uplift, the lowest </w:t>
            </w:r>
            <w:r w:rsidR="000677FF" w:rsidRPr="000B6313">
              <w:t xml:space="preserve">hourly rate for domiciliary care commissioned by the Council has been set at £21. </w:t>
            </w:r>
            <w:r w:rsidR="2AA18716" w:rsidRPr="000B6313">
              <w:rPr>
                <w:rFonts w:eastAsia="Arial"/>
              </w:rPr>
              <w:t>The current</w:t>
            </w:r>
            <w:r w:rsidR="0004428D" w:rsidRPr="000B6313">
              <w:rPr>
                <w:rFonts w:eastAsia="Arial"/>
              </w:rPr>
              <w:t xml:space="preserve"> average</w:t>
            </w:r>
            <w:r w:rsidR="2AA18716" w:rsidRPr="000B6313">
              <w:rPr>
                <w:rFonts w:eastAsia="Arial"/>
              </w:rPr>
              <w:t xml:space="preserve"> rates for domiciliary care</w:t>
            </w:r>
            <w:r w:rsidR="006D371C" w:rsidRPr="000B6313">
              <w:rPr>
                <w:rFonts w:eastAsia="Arial"/>
              </w:rPr>
              <w:t xml:space="preserve"> commissioned by the Council</w:t>
            </w:r>
            <w:r w:rsidR="2AA18716" w:rsidRPr="000B6313">
              <w:rPr>
                <w:rFonts w:eastAsia="Arial"/>
              </w:rPr>
              <w:t xml:space="preserve"> are provided in </w:t>
            </w:r>
            <w:r w:rsidR="567895B8" w:rsidRPr="000B6313">
              <w:rPr>
                <w:rFonts w:eastAsia="Arial"/>
              </w:rPr>
              <w:t xml:space="preserve">Table </w:t>
            </w:r>
            <w:r w:rsidR="004C1DF7" w:rsidRPr="000B6313">
              <w:rPr>
                <w:rFonts w:eastAsia="Arial"/>
              </w:rPr>
              <w:t>5</w:t>
            </w:r>
            <w:r w:rsidR="567895B8" w:rsidRPr="000B6313">
              <w:rPr>
                <w:rFonts w:eastAsia="Arial"/>
              </w:rPr>
              <w:t xml:space="preserve"> below</w:t>
            </w:r>
            <w:r w:rsidR="0004428D" w:rsidRPr="000B6313">
              <w:rPr>
                <w:rFonts w:eastAsia="Arial"/>
              </w:rPr>
              <w:t xml:space="preserve">. </w:t>
            </w:r>
          </w:p>
          <w:p w14:paraId="64A1D609" w14:textId="5FB92E49" w:rsidR="2F17D848" w:rsidRPr="000B6313" w:rsidRDefault="2F17D848" w:rsidP="572B04B1">
            <w:pPr>
              <w:spacing w:after="0" w:line="240" w:lineRule="auto"/>
              <w:rPr>
                <w:i/>
                <w:iCs/>
              </w:rPr>
            </w:pPr>
            <w:r w:rsidRPr="000B6313">
              <w:t xml:space="preserve"> </w:t>
            </w:r>
            <w:r w:rsidRPr="000B6313">
              <w:rPr>
                <w:i/>
                <w:iCs/>
              </w:rPr>
              <w:t xml:space="preserve"> </w:t>
            </w:r>
          </w:p>
          <w:p w14:paraId="5E319257" w14:textId="6222C6BC" w:rsidR="006D371C" w:rsidRPr="000B6313" w:rsidRDefault="006D371C" w:rsidP="00FF36F4">
            <w:pPr>
              <w:spacing w:after="0" w:line="240" w:lineRule="auto"/>
              <w:ind w:right="1769"/>
              <w:rPr>
                <w:b/>
                <w:bCs/>
                <w:color w:val="000000" w:themeColor="text1"/>
              </w:rPr>
            </w:pPr>
            <w:r w:rsidRPr="000B6313">
              <w:rPr>
                <w:b/>
                <w:bCs/>
                <w:color w:val="000000" w:themeColor="text1"/>
              </w:rPr>
              <w:t xml:space="preserve">Table </w:t>
            </w:r>
            <w:r w:rsidR="004C1DF7" w:rsidRPr="000B6313">
              <w:rPr>
                <w:b/>
                <w:bCs/>
                <w:color w:val="000000" w:themeColor="text1"/>
              </w:rPr>
              <w:t>5</w:t>
            </w:r>
            <w:r w:rsidRPr="000B6313">
              <w:rPr>
                <w:b/>
                <w:bCs/>
                <w:color w:val="000000" w:themeColor="text1"/>
              </w:rPr>
              <w:t>: Domiciliary Care</w:t>
            </w:r>
            <w:r w:rsidR="00627570" w:rsidRPr="000B6313">
              <w:rPr>
                <w:b/>
                <w:bCs/>
                <w:color w:val="000000" w:themeColor="text1"/>
              </w:rPr>
              <w:t xml:space="preserve"> </w:t>
            </w:r>
            <w:r w:rsidR="002D7FB9" w:rsidRPr="000B6313">
              <w:rPr>
                <w:b/>
                <w:bCs/>
                <w:color w:val="000000" w:themeColor="text1"/>
              </w:rPr>
              <w:t>Average Rates</w:t>
            </w:r>
            <w:r w:rsidR="00EB70C4" w:rsidRPr="000B6313">
              <w:rPr>
                <w:b/>
                <w:bCs/>
                <w:color w:val="000000" w:themeColor="text1"/>
              </w:rPr>
              <w:t xml:space="preserve"> (excluding live in)</w:t>
            </w:r>
            <w:r w:rsidR="002D7FB9" w:rsidRPr="000B6313">
              <w:rPr>
                <w:b/>
                <w:bCs/>
                <w:color w:val="000000" w:themeColor="text1"/>
              </w:rPr>
              <w:t xml:space="preserve"> (</w:t>
            </w:r>
            <w:r w:rsidR="00383A5F">
              <w:rPr>
                <w:b/>
                <w:bCs/>
                <w:color w:val="000000" w:themeColor="text1"/>
              </w:rPr>
              <w:t>February</w:t>
            </w:r>
            <w:r w:rsidR="002D7FB9" w:rsidRPr="000B6313">
              <w:rPr>
                <w:b/>
                <w:bCs/>
                <w:color w:val="000000" w:themeColor="text1"/>
              </w:rPr>
              <w:t xml:space="preserve"> 2022)</w:t>
            </w:r>
          </w:p>
          <w:p w14:paraId="07CCDA71" w14:textId="3BE0F344" w:rsidR="006D371C" w:rsidRPr="000B6313" w:rsidRDefault="006D371C" w:rsidP="572B04B1">
            <w:pPr>
              <w:spacing w:after="0" w:line="240" w:lineRule="auto"/>
              <w:rPr>
                <w:b/>
                <w:bCs/>
                <w:color w:val="000000" w:themeColor="text1"/>
              </w:rPr>
            </w:pPr>
          </w:p>
          <w:tbl>
            <w:tblPr>
              <w:tblW w:w="0" w:type="auto"/>
              <w:jc w:val="center"/>
              <w:tblLook w:val="0000" w:firstRow="0" w:lastRow="0" w:firstColumn="0" w:lastColumn="0" w:noHBand="0" w:noVBand="0"/>
            </w:tblPr>
            <w:tblGrid>
              <w:gridCol w:w="4439"/>
              <w:gridCol w:w="2847"/>
            </w:tblGrid>
            <w:tr w:rsidR="00CD1ABA" w:rsidRPr="000B6313" w14:paraId="5C34D0ED" w14:textId="77777777" w:rsidTr="00CD1ABA">
              <w:trPr>
                <w:trHeight w:val="439"/>
                <w:jc w:val="center"/>
              </w:trPr>
              <w:tc>
                <w:tcPr>
                  <w:tcW w:w="4439" w:type="dxa"/>
                  <w:tcBorders>
                    <w:top w:val="single" w:sz="8" w:space="0" w:color="D2D2DA"/>
                    <w:left w:val="single" w:sz="8" w:space="0" w:color="D2D2DA"/>
                    <w:bottom w:val="single" w:sz="8" w:space="0" w:color="D2D2DA"/>
                    <w:right w:val="single" w:sz="8" w:space="0" w:color="D2D2DA"/>
                  </w:tcBorders>
                  <w:shd w:val="clear" w:color="auto" w:fill="4472C4" w:themeFill="accent1"/>
                  <w:tcMar>
                    <w:top w:w="0" w:type="dxa"/>
                    <w:left w:w="108" w:type="dxa"/>
                    <w:bottom w:w="0" w:type="dxa"/>
                    <w:right w:w="108" w:type="dxa"/>
                  </w:tcMar>
                </w:tcPr>
                <w:p w14:paraId="6CE2D2AD" w14:textId="1F8A7BB9" w:rsidR="00CD1ABA" w:rsidRPr="000B6313" w:rsidRDefault="00CD1ABA" w:rsidP="00CD1ABA">
                  <w:pPr>
                    <w:spacing w:after="0" w:line="240" w:lineRule="auto"/>
                    <w:rPr>
                      <w:rFonts w:eastAsia="Arial"/>
                      <w:b/>
                      <w:bCs/>
                      <w:color w:val="FFFFFF" w:themeColor="background1"/>
                    </w:rPr>
                  </w:pPr>
                  <w:r w:rsidRPr="000B6313">
                    <w:rPr>
                      <w:rFonts w:eastAsia="Arial"/>
                      <w:b/>
                      <w:bCs/>
                      <w:color w:val="FFFFFF" w:themeColor="background1"/>
                    </w:rPr>
                    <w:t>Type</w:t>
                  </w:r>
                </w:p>
              </w:tc>
              <w:tc>
                <w:tcPr>
                  <w:tcW w:w="2847" w:type="dxa"/>
                  <w:tcBorders>
                    <w:top w:val="single" w:sz="8" w:space="0" w:color="D2D2DA"/>
                    <w:left w:val="single" w:sz="8" w:space="0" w:color="D2D2DA"/>
                    <w:bottom w:val="single" w:sz="8" w:space="0" w:color="D2D2DA"/>
                    <w:right w:val="single" w:sz="8" w:space="0" w:color="D2D2DA"/>
                  </w:tcBorders>
                  <w:shd w:val="clear" w:color="auto" w:fill="4472C4" w:themeFill="accent1"/>
                  <w:tcMar>
                    <w:top w:w="0" w:type="dxa"/>
                    <w:left w:w="108" w:type="dxa"/>
                    <w:bottom w:w="0" w:type="dxa"/>
                    <w:right w:w="108" w:type="dxa"/>
                  </w:tcMar>
                  <w:vAlign w:val="center"/>
                </w:tcPr>
                <w:p w14:paraId="54B91A5A" w14:textId="743400E3" w:rsidR="00CD1ABA" w:rsidRPr="000B6313" w:rsidRDefault="00CD1ABA" w:rsidP="00CD1ABA">
                  <w:pPr>
                    <w:spacing w:after="0" w:line="240" w:lineRule="auto"/>
                    <w:rPr>
                      <w:rFonts w:eastAsia="Arial"/>
                      <w:b/>
                      <w:bCs/>
                      <w:color w:val="FFFFFF" w:themeColor="background1"/>
                    </w:rPr>
                  </w:pPr>
                  <w:r w:rsidRPr="000B6313">
                    <w:rPr>
                      <w:rFonts w:eastAsia="Arial"/>
                      <w:b/>
                      <w:bCs/>
                      <w:color w:val="FFFFFF" w:themeColor="background1"/>
                    </w:rPr>
                    <w:t>Average hourly rate</w:t>
                  </w:r>
                </w:p>
              </w:tc>
            </w:tr>
            <w:tr w:rsidR="00CD1ABA" w:rsidRPr="000B6313" w14:paraId="062E4511" w14:textId="77777777" w:rsidTr="00CD1ABA">
              <w:trPr>
                <w:trHeight w:val="297"/>
                <w:jc w:val="center"/>
              </w:trPr>
              <w:tc>
                <w:tcPr>
                  <w:tcW w:w="4439"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713FF2F4" w14:textId="766C4E66" w:rsidR="00CD1ABA" w:rsidRPr="000B6313" w:rsidRDefault="00CD1ABA" w:rsidP="00CD1ABA">
                  <w:pPr>
                    <w:spacing w:after="0" w:line="240" w:lineRule="auto"/>
                  </w:pPr>
                  <w:r w:rsidRPr="000B6313">
                    <w:t>18-64 average (spot)</w:t>
                  </w:r>
                </w:p>
              </w:tc>
              <w:tc>
                <w:tcPr>
                  <w:tcW w:w="2847"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3D587932" w14:textId="555625E2" w:rsidR="00CD1ABA" w:rsidRPr="000B6313" w:rsidRDefault="00415153" w:rsidP="00CD1ABA">
                  <w:pPr>
                    <w:spacing w:after="0" w:line="240" w:lineRule="auto"/>
                  </w:pPr>
                  <w:r w:rsidRPr="000B6313">
                    <w:t>£</w:t>
                  </w:r>
                  <w:r w:rsidR="0004428D" w:rsidRPr="000B6313">
                    <w:t>22.</w:t>
                  </w:r>
                  <w:r w:rsidR="00BE1F2D">
                    <w:t>28</w:t>
                  </w:r>
                </w:p>
              </w:tc>
            </w:tr>
            <w:tr w:rsidR="00CD1ABA" w:rsidRPr="000B6313" w14:paraId="47774F20" w14:textId="77777777" w:rsidTr="00CD1ABA">
              <w:trPr>
                <w:trHeight w:val="297"/>
                <w:jc w:val="center"/>
              </w:trPr>
              <w:tc>
                <w:tcPr>
                  <w:tcW w:w="4439"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381C3EBF" w14:textId="4860147D" w:rsidR="00CD1ABA" w:rsidRPr="000B6313" w:rsidRDefault="00CD1ABA" w:rsidP="00CD1ABA">
                  <w:pPr>
                    <w:spacing w:after="0" w:line="240" w:lineRule="auto"/>
                  </w:pPr>
                  <w:r w:rsidRPr="000B6313">
                    <w:t>18-64 average rate (all contact types)</w:t>
                  </w:r>
                </w:p>
              </w:tc>
              <w:tc>
                <w:tcPr>
                  <w:tcW w:w="2847"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2E9FE740" w14:textId="4A86E723" w:rsidR="00CD1ABA" w:rsidRPr="000B6313" w:rsidRDefault="0004428D" w:rsidP="00CD1ABA">
                  <w:pPr>
                    <w:spacing w:after="0" w:line="240" w:lineRule="auto"/>
                  </w:pPr>
                  <w:r w:rsidRPr="000B6313">
                    <w:t>£21.</w:t>
                  </w:r>
                  <w:r w:rsidR="00BE1F2D">
                    <w:t>59</w:t>
                  </w:r>
                </w:p>
              </w:tc>
            </w:tr>
            <w:tr w:rsidR="00CD1ABA" w:rsidRPr="000B6313" w14:paraId="3BD6CCF9" w14:textId="77777777" w:rsidTr="00CD1ABA">
              <w:trPr>
                <w:trHeight w:val="297"/>
                <w:jc w:val="center"/>
              </w:trPr>
              <w:tc>
                <w:tcPr>
                  <w:tcW w:w="4439"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47236667" w14:textId="03AFD335" w:rsidR="00CD1ABA" w:rsidRPr="000B6313" w:rsidRDefault="00CD1ABA" w:rsidP="00CD1ABA">
                  <w:pPr>
                    <w:spacing w:after="0" w:line="240" w:lineRule="auto"/>
                  </w:pPr>
                  <w:r w:rsidRPr="000B6313">
                    <w:t>65+ average (spot)</w:t>
                  </w:r>
                </w:p>
              </w:tc>
              <w:tc>
                <w:tcPr>
                  <w:tcW w:w="2847"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341C46D9" w14:textId="31E5D642" w:rsidR="00CD1ABA" w:rsidRPr="000B6313" w:rsidRDefault="0004428D" w:rsidP="00CD1ABA">
                  <w:pPr>
                    <w:spacing w:after="0" w:line="240" w:lineRule="auto"/>
                  </w:pPr>
                  <w:r w:rsidRPr="000B6313">
                    <w:t>£22.</w:t>
                  </w:r>
                  <w:r w:rsidR="00BE1F2D">
                    <w:t>40</w:t>
                  </w:r>
                </w:p>
              </w:tc>
            </w:tr>
            <w:tr w:rsidR="00CD1ABA" w:rsidRPr="000B6313" w14:paraId="7054CE31" w14:textId="77777777" w:rsidTr="00CD1ABA">
              <w:trPr>
                <w:trHeight w:val="297"/>
                <w:jc w:val="center"/>
              </w:trPr>
              <w:tc>
                <w:tcPr>
                  <w:tcW w:w="4439"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0F55B6B3" w14:textId="12576210" w:rsidR="00CD1ABA" w:rsidRPr="000B6313" w:rsidRDefault="00CD1ABA" w:rsidP="00CD1ABA">
                  <w:pPr>
                    <w:spacing w:after="0" w:line="240" w:lineRule="auto"/>
                  </w:pPr>
                  <w:r w:rsidRPr="000B6313">
                    <w:t>65+ average (all contract types</w:t>
                  </w:r>
                  <w:r w:rsidR="00DA5391" w:rsidRPr="000B6313">
                    <w:t>)</w:t>
                  </w:r>
                </w:p>
              </w:tc>
              <w:tc>
                <w:tcPr>
                  <w:tcW w:w="2847" w:type="dxa"/>
                  <w:tcBorders>
                    <w:top w:val="single" w:sz="8" w:space="0" w:color="D2D2DA"/>
                    <w:left w:val="single" w:sz="8" w:space="0" w:color="D2D2DA"/>
                    <w:bottom w:val="single" w:sz="8" w:space="0" w:color="D2D2DA"/>
                    <w:right w:val="single" w:sz="8" w:space="0" w:color="D2D2DA"/>
                  </w:tcBorders>
                  <w:shd w:val="clear" w:color="auto" w:fill="auto"/>
                  <w:tcMar>
                    <w:top w:w="0" w:type="dxa"/>
                    <w:left w:w="108" w:type="dxa"/>
                    <w:bottom w:w="0" w:type="dxa"/>
                    <w:right w:w="108" w:type="dxa"/>
                  </w:tcMar>
                  <w:vAlign w:val="center"/>
                </w:tcPr>
                <w:p w14:paraId="664E991D" w14:textId="18BA0009" w:rsidR="00CD1ABA" w:rsidRPr="000B6313" w:rsidRDefault="0004428D" w:rsidP="00CD1ABA">
                  <w:pPr>
                    <w:spacing w:after="0" w:line="240" w:lineRule="auto"/>
                  </w:pPr>
                  <w:r w:rsidRPr="000B6313">
                    <w:t>£21.</w:t>
                  </w:r>
                  <w:r w:rsidR="00BE1F2D">
                    <w:t>92</w:t>
                  </w:r>
                </w:p>
              </w:tc>
            </w:tr>
          </w:tbl>
          <w:p w14:paraId="60592659" w14:textId="77777777" w:rsidR="00BB5F31" w:rsidRPr="000B6313" w:rsidRDefault="00BB5F31" w:rsidP="572B04B1">
            <w:pPr>
              <w:spacing w:after="0" w:line="240" w:lineRule="auto"/>
              <w:rPr>
                <w:color w:val="000000" w:themeColor="text1"/>
              </w:rPr>
            </w:pPr>
          </w:p>
          <w:p w14:paraId="5B929D73" w14:textId="77777777" w:rsidR="00D052BE" w:rsidRPr="000B6313" w:rsidRDefault="00D052BE" w:rsidP="006B67C8">
            <w:pPr>
              <w:spacing w:after="0" w:line="240" w:lineRule="auto"/>
              <w:rPr>
                <w:color w:val="000000" w:themeColor="text1"/>
              </w:rPr>
            </w:pPr>
          </w:p>
          <w:p w14:paraId="125623AB" w14:textId="4D1D9123" w:rsidR="006B67C8" w:rsidRPr="000B6313" w:rsidRDefault="006B67C8" w:rsidP="006B67C8">
            <w:pPr>
              <w:spacing w:after="0" w:line="240" w:lineRule="auto"/>
            </w:pPr>
            <w:r w:rsidRPr="000B6313">
              <w:rPr>
                <w:color w:val="000000" w:themeColor="text1"/>
              </w:rPr>
              <w:t>T</w:t>
            </w:r>
            <w:r w:rsidR="00382F71">
              <w:rPr>
                <w:color w:val="000000" w:themeColor="text1"/>
              </w:rPr>
              <w:t xml:space="preserve">here has been a need to engage with new providers </w:t>
            </w:r>
            <w:proofErr w:type="gramStart"/>
            <w:r w:rsidR="00382F71">
              <w:rPr>
                <w:color w:val="000000" w:themeColor="text1"/>
              </w:rPr>
              <w:t xml:space="preserve">in order </w:t>
            </w:r>
            <w:r w:rsidR="05E8A2B7" w:rsidRPr="000B6313">
              <w:rPr>
                <w:color w:val="000000" w:themeColor="text1"/>
              </w:rPr>
              <w:t>to</w:t>
            </w:r>
            <w:proofErr w:type="gramEnd"/>
            <w:r w:rsidR="05E8A2B7" w:rsidRPr="000B6313">
              <w:rPr>
                <w:color w:val="000000" w:themeColor="text1"/>
              </w:rPr>
              <w:t xml:space="preserve"> manage increased demand </w:t>
            </w:r>
            <w:r w:rsidR="71B6C931" w:rsidRPr="000B6313">
              <w:rPr>
                <w:color w:val="000000" w:themeColor="text1"/>
              </w:rPr>
              <w:t>pressures,</w:t>
            </w:r>
            <w:r w:rsidR="05E8A2B7" w:rsidRPr="000B6313">
              <w:rPr>
                <w:color w:val="000000" w:themeColor="text1"/>
              </w:rPr>
              <w:t xml:space="preserve"> but prices are not harmonised</w:t>
            </w:r>
            <w:r w:rsidRPr="000B6313">
              <w:rPr>
                <w:color w:val="000000" w:themeColor="text1"/>
              </w:rPr>
              <w:t>,</w:t>
            </w:r>
            <w:r w:rsidR="05E8A2B7" w:rsidRPr="000B6313">
              <w:rPr>
                <w:color w:val="000000" w:themeColor="text1"/>
              </w:rPr>
              <w:t xml:space="preserve"> and quality is varied.</w:t>
            </w:r>
            <w:r w:rsidR="6B53239A" w:rsidRPr="000B6313">
              <w:rPr>
                <w:color w:val="000000" w:themeColor="text1"/>
              </w:rPr>
              <w:t xml:space="preserve"> </w:t>
            </w:r>
            <w:r w:rsidRPr="000B6313">
              <w:t xml:space="preserve">During and post Covid, the Council has seen several newly established domiciliary care organisations. As part of market development there is a need for local authorities to support new capacity, and all </w:t>
            </w:r>
            <w:r w:rsidR="00074F26" w:rsidRPr="000B6313">
              <w:t xml:space="preserve">new </w:t>
            </w:r>
            <w:r w:rsidRPr="000B6313">
              <w:t xml:space="preserve">providers are subject to formal approval processes. However, </w:t>
            </w:r>
            <w:r w:rsidR="00A72367" w:rsidRPr="000B6313">
              <w:t>t</w:t>
            </w:r>
            <w:r w:rsidR="00A72367" w:rsidRPr="000B6313">
              <w:rPr>
                <w:color w:val="000000" w:themeColor="text1"/>
              </w:rPr>
              <w:t xml:space="preserve">here have been trends of quality concerns across some of these new market entrants, often leading to either packages of care being handed back or quality related incidents. New market entrants potentially lack understanding around domiciliary care business models and costs. </w:t>
            </w:r>
            <w:r w:rsidRPr="000B6313">
              <w:t xml:space="preserve">Reporting in June 2022 identified that 36 new Buckinghamshire domiciliary care locations were registered with the CQC since January 2020. </w:t>
            </w:r>
            <w:proofErr w:type="gramStart"/>
            <w:r w:rsidRPr="000B6313">
              <w:t>At</w:t>
            </w:r>
            <w:proofErr w:type="gramEnd"/>
            <w:r w:rsidRPr="000B6313">
              <w:t xml:space="preserve"> June 2022, the Council had entered into contracts with 15 of these but 4 (26%) had been suspended, with services users moved to alternative providers. Only 9 of the 36 providers had been inspected </w:t>
            </w:r>
            <w:r w:rsidR="002A378A" w:rsidRPr="000B6313">
              <w:t xml:space="preserve">by the CQC. </w:t>
            </w:r>
            <w:r w:rsidR="004124E7" w:rsidRPr="000B6313">
              <w:t xml:space="preserve">Where the Council </w:t>
            </w:r>
            <w:r w:rsidR="004124E7" w:rsidRPr="000B6313">
              <w:lastRenderedPageBreak/>
              <w:t>commissio</w:t>
            </w:r>
            <w:r w:rsidR="0037695F" w:rsidRPr="000B6313">
              <w:t>ns</w:t>
            </w:r>
            <w:r w:rsidR="004124E7" w:rsidRPr="000B6313">
              <w:t xml:space="preserve"> regulated providers who do not yet have a CQC rating, enhanced monitoring is in place</w:t>
            </w:r>
          </w:p>
          <w:p w14:paraId="3EDD99DA" w14:textId="77777777" w:rsidR="005A5956" w:rsidRPr="000B6313" w:rsidRDefault="005A5956" w:rsidP="005B5061">
            <w:pPr>
              <w:spacing w:after="0" w:line="240" w:lineRule="auto"/>
              <w:rPr>
                <w:color w:val="000000" w:themeColor="text1"/>
              </w:rPr>
            </w:pPr>
          </w:p>
          <w:p w14:paraId="36F7CE91" w14:textId="73C1B6F5" w:rsidR="572B04B1" w:rsidRPr="000B6313" w:rsidRDefault="5A0072C5" w:rsidP="24AF049D">
            <w:pPr>
              <w:spacing w:after="0" w:line="240" w:lineRule="auto"/>
              <w:rPr>
                <w:color w:val="000000" w:themeColor="text1"/>
              </w:rPr>
            </w:pPr>
            <w:r w:rsidRPr="000B6313">
              <w:rPr>
                <w:color w:val="000000" w:themeColor="text1"/>
              </w:rPr>
              <w:t xml:space="preserve">Provider feedback has indicated that current market conditions are challenging regarding workforce. </w:t>
            </w:r>
            <w:r w:rsidR="00CA1E43" w:rsidRPr="000B6313">
              <w:rPr>
                <w:color w:val="000000" w:themeColor="text1"/>
              </w:rPr>
              <w:t>70 domiciliary care</w:t>
            </w:r>
            <w:r w:rsidR="66CBEA47" w:rsidRPr="000B6313">
              <w:rPr>
                <w:color w:val="000000" w:themeColor="text1"/>
              </w:rPr>
              <w:t xml:space="preserve"> packages</w:t>
            </w:r>
            <w:r w:rsidR="00CA1E43" w:rsidRPr="000B6313">
              <w:rPr>
                <w:color w:val="000000" w:themeColor="text1"/>
              </w:rPr>
              <w:t xml:space="preserve"> have been</w:t>
            </w:r>
            <w:r w:rsidR="66CBEA47" w:rsidRPr="000B6313">
              <w:rPr>
                <w:color w:val="000000" w:themeColor="text1"/>
              </w:rPr>
              <w:t xml:space="preserve"> handed back </w:t>
            </w:r>
            <w:r w:rsidR="00CA1E43" w:rsidRPr="000B6313">
              <w:rPr>
                <w:color w:val="000000" w:themeColor="text1"/>
              </w:rPr>
              <w:t>by</w:t>
            </w:r>
            <w:r w:rsidR="66CBEA47" w:rsidRPr="000B6313">
              <w:rPr>
                <w:color w:val="000000" w:themeColor="text1"/>
              </w:rPr>
              <w:t xml:space="preserve"> dom</w:t>
            </w:r>
            <w:r w:rsidRPr="000B6313">
              <w:rPr>
                <w:color w:val="000000" w:themeColor="text1"/>
              </w:rPr>
              <w:t>ici</w:t>
            </w:r>
            <w:r w:rsidR="3EFBE8A6" w:rsidRPr="000B6313">
              <w:rPr>
                <w:color w:val="000000" w:themeColor="text1"/>
              </w:rPr>
              <w:t>li</w:t>
            </w:r>
            <w:r w:rsidRPr="000B6313">
              <w:rPr>
                <w:color w:val="000000" w:themeColor="text1"/>
              </w:rPr>
              <w:t>ary</w:t>
            </w:r>
            <w:r w:rsidR="66CBEA47" w:rsidRPr="000B6313">
              <w:rPr>
                <w:color w:val="000000" w:themeColor="text1"/>
              </w:rPr>
              <w:t xml:space="preserve"> care providers </w:t>
            </w:r>
            <w:r w:rsidR="00CA1E43" w:rsidRPr="000B6313">
              <w:rPr>
                <w:color w:val="000000" w:themeColor="text1"/>
              </w:rPr>
              <w:t>during 2022</w:t>
            </w:r>
            <w:r w:rsidR="007B157D">
              <w:rPr>
                <w:color w:val="000000" w:themeColor="text1"/>
              </w:rPr>
              <w:t xml:space="preserve"> (almost </w:t>
            </w:r>
            <w:r w:rsidR="00C42550">
              <w:rPr>
                <w:color w:val="000000" w:themeColor="text1"/>
              </w:rPr>
              <w:t>5% of total packages)</w:t>
            </w:r>
            <w:r w:rsidR="00CA1E43" w:rsidRPr="000B6313">
              <w:rPr>
                <w:color w:val="000000" w:themeColor="text1"/>
              </w:rPr>
              <w:t>, mainly</w:t>
            </w:r>
            <w:r w:rsidR="002A378A" w:rsidRPr="000B6313">
              <w:rPr>
                <w:color w:val="000000" w:themeColor="text1"/>
              </w:rPr>
              <w:t xml:space="preserve"> </w:t>
            </w:r>
            <w:r w:rsidR="6828CF7D" w:rsidRPr="000B6313">
              <w:rPr>
                <w:color w:val="000000" w:themeColor="text1"/>
              </w:rPr>
              <w:t xml:space="preserve">driven by </w:t>
            </w:r>
            <w:r w:rsidR="66CBEA47" w:rsidRPr="000B6313">
              <w:rPr>
                <w:color w:val="000000" w:themeColor="text1"/>
              </w:rPr>
              <w:t>workforce capacity issues.</w:t>
            </w:r>
            <w:r w:rsidR="505DDBFE" w:rsidRPr="000B6313">
              <w:rPr>
                <w:color w:val="000000" w:themeColor="text1"/>
              </w:rPr>
              <w:t xml:space="preserve"> </w:t>
            </w:r>
          </w:p>
          <w:p w14:paraId="27F6B1F2" w14:textId="77777777" w:rsidR="008412B2" w:rsidRPr="000B6313" w:rsidRDefault="008412B2" w:rsidP="005B5061">
            <w:pPr>
              <w:spacing w:after="0" w:line="240" w:lineRule="auto"/>
            </w:pPr>
          </w:p>
          <w:p w14:paraId="1D796CB5" w14:textId="084C5BCB" w:rsidR="088D4456" w:rsidRPr="000B6313" w:rsidRDefault="14EF0358" w:rsidP="088D4456">
            <w:pPr>
              <w:spacing w:after="0" w:line="240" w:lineRule="auto"/>
            </w:pPr>
            <w:r w:rsidRPr="000B6313">
              <w:t xml:space="preserve">There has been an </w:t>
            </w:r>
            <w:r w:rsidR="2F66B80B" w:rsidRPr="000B6313">
              <w:t>i</w:t>
            </w:r>
            <w:r w:rsidR="16B74839" w:rsidRPr="000B6313">
              <w:t>ncrease in spot provision to manage increase</w:t>
            </w:r>
            <w:r w:rsidRPr="000B6313">
              <w:t>s</w:t>
            </w:r>
            <w:r w:rsidR="16B74839" w:rsidRPr="000B6313">
              <w:t xml:space="preserve"> in demand</w:t>
            </w:r>
            <w:r w:rsidR="00DC793F" w:rsidRPr="000B6313">
              <w:t>. A</w:t>
            </w:r>
            <w:r w:rsidR="538F7811" w:rsidRPr="000B6313">
              <w:t>s with care home provision</w:t>
            </w:r>
            <w:r w:rsidR="00DC793F" w:rsidRPr="000B6313">
              <w:t>, t</w:t>
            </w:r>
            <w:r w:rsidR="538F7811" w:rsidRPr="000B6313">
              <w:t xml:space="preserve">he Council has identified the need for a more strategic approach to commissioning domiciliary care services and the process to introduce a dynamic purchasing vehicle is currently underway. </w:t>
            </w:r>
            <w:r w:rsidR="001F430A" w:rsidRPr="000B6313">
              <w:t>The Council also needs to consider that cost effectiveness needs to balance the aim of supporting people to be at home and achieving value for money.</w:t>
            </w:r>
          </w:p>
          <w:p w14:paraId="0C261716" w14:textId="77777777" w:rsidR="00EA1241" w:rsidRPr="000B6313" w:rsidRDefault="00EA1241" w:rsidP="088D4456">
            <w:pPr>
              <w:spacing w:after="0" w:line="240" w:lineRule="auto"/>
            </w:pPr>
          </w:p>
          <w:p w14:paraId="5AD2A4EC" w14:textId="008DF9EC" w:rsidR="00EA1241" w:rsidRPr="000B6313" w:rsidRDefault="009B25A3" w:rsidP="00EA1241">
            <w:pPr>
              <w:spacing w:after="0" w:line="240" w:lineRule="auto"/>
            </w:pPr>
            <w:r w:rsidRPr="000B6313">
              <w:t>The Council has completed a demand analysis</w:t>
            </w:r>
            <w:r w:rsidR="00695A47" w:rsidRPr="000B6313">
              <w:t xml:space="preserve"> to estimate the demand</w:t>
            </w:r>
            <w:r w:rsidRPr="000B6313">
              <w:t xml:space="preserve"> for adult social care accommodation</w:t>
            </w:r>
            <w:r w:rsidR="00695A47" w:rsidRPr="000B6313">
              <w:t xml:space="preserve"> over the next 20 years. This has </w:t>
            </w:r>
            <w:r w:rsidR="00EA1241" w:rsidRPr="000B6313">
              <w:t>identified how the types of accommodation available can support people to stay independent</w:t>
            </w:r>
            <w:r w:rsidR="003926EC" w:rsidRPr="000B6313">
              <w:t xml:space="preserve"> for longer</w:t>
            </w:r>
            <w:r w:rsidR="00EA1241" w:rsidRPr="000B6313">
              <w:t xml:space="preserve">. </w:t>
            </w:r>
            <w:r w:rsidR="003926EC" w:rsidRPr="000B6313">
              <w:t>It anticipates over the next 20 years i</w:t>
            </w:r>
            <w:r w:rsidR="00EA1241" w:rsidRPr="000B6313">
              <w:t>ncreasing demand for accessible housing, retirement housing and extra care housing</w:t>
            </w:r>
            <w:r w:rsidR="003926EC" w:rsidRPr="000B6313">
              <w:t xml:space="preserve">. In responding to market </w:t>
            </w:r>
            <w:proofErr w:type="gramStart"/>
            <w:r w:rsidR="003926EC" w:rsidRPr="000B6313">
              <w:t>challenges</w:t>
            </w:r>
            <w:proofErr w:type="gramEnd"/>
            <w:r w:rsidR="003926EC" w:rsidRPr="000B6313">
              <w:t xml:space="preserve"> </w:t>
            </w:r>
            <w:r w:rsidR="00EA1241" w:rsidRPr="000B6313">
              <w:t xml:space="preserve">it is important to consider this as well as the capacity for service provision.  </w:t>
            </w:r>
          </w:p>
          <w:p w14:paraId="22B6D33E" w14:textId="77777777" w:rsidR="00EA1241" w:rsidRPr="000B6313" w:rsidRDefault="00EA1241" w:rsidP="088D4456">
            <w:pPr>
              <w:spacing w:after="0" w:line="240" w:lineRule="auto"/>
            </w:pPr>
          </w:p>
          <w:p w14:paraId="0B9F0FD6" w14:textId="3E3FB2C8" w:rsidR="002210A3" w:rsidRPr="000B6313" w:rsidRDefault="002210A3" w:rsidP="00D012F8">
            <w:pPr>
              <w:spacing w:after="0" w:line="240" w:lineRule="auto"/>
            </w:pPr>
          </w:p>
        </w:tc>
      </w:tr>
      <w:tr w:rsidR="005D24CB" w:rsidRPr="000B6313" w14:paraId="0B9F0FD9"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84F996" w14:textId="77777777" w:rsidR="00B56DA0" w:rsidRDefault="00B56DA0" w:rsidP="00B56DA0">
            <w:pPr>
              <w:suppressAutoHyphens w:val="0"/>
              <w:autoSpaceDN/>
              <w:spacing w:after="0" w:line="240" w:lineRule="auto"/>
              <w:textAlignment w:val="auto"/>
              <w:rPr>
                <w:rFonts w:eastAsia="Times New Roman"/>
                <w:color w:val="000000"/>
                <w:lang w:eastAsia="en-GB"/>
              </w:rPr>
            </w:pPr>
            <w:r w:rsidRPr="00B56DA0">
              <w:rPr>
                <w:rFonts w:eastAsia="Times New Roman"/>
                <w:color w:val="000000"/>
                <w:lang w:eastAsia="en-GB"/>
              </w:rPr>
              <w:lastRenderedPageBreak/>
              <w:t>Section 2: Assessment of the impact of future market changes between now and</w:t>
            </w:r>
          </w:p>
          <w:p w14:paraId="0B9F0FD8" w14:textId="7E8BF6B8" w:rsidR="005D24CB" w:rsidRPr="000B6313" w:rsidRDefault="00B56DA0" w:rsidP="00B56DA0">
            <w:pPr>
              <w:suppressAutoHyphens w:val="0"/>
              <w:autoSpaceDN/>
              <w:spacing w:after="0" w:line="240" w:lineRule="auto"/>
              <w:textAlignment w:val="auto"/>
              <w:rPr>
                <w:b/>
                <w:bCs/>
              </w:rPr>
            </w:pPr>
            <w:r w:rsidRPr="00B56DA0">
              <w:rPr>
                <w:rFonts w:eastAsia="Times New Roman"/>
                <w:color w:val="000000"/>
                <w:lang w:eastAsia="en-GB"/>
              </w:rPr>
              <w:t>October 2025, for each of the service markets</w:t>
            </w:r>
          </w:p>
        </w:tc>
      </w:tr>
      <w:tr w:rsidR="005D24CB" w:rsidRPr="000B6313" w14:paraId="0B9F0FEC"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3DF77" w14:textId="2C713674" w:rsidR="006460DB" w:rsidRPr="000B6313" w:rsidRDefault="006460DB" w:rsidP="00AC0852">
            <w:pPr>
              <w:spacing w:after="0" w:line="240" w:lineRule="auto"/>
              <w:rPr>
                <w:color w:val="000000" w:themeColor="text1"/>
              </w:rPr>
            </w:pPr>
          </w:p>
          <w:p w14:paraId="58055FFE" w14:textId="03F7FD79" w:rsidR="008D2D82" w:rsidRPr="000B6313" w:rsidRDefault="26192E5A" w:rsidP="2AA975AA">
            <w:pPr>
              <w:spacing w:after="0" w:line="240" w:lineRule="auto"/>
              <w:rPr>
                <w:color w:val="000000" w:themeColor="text1"/>
              </w:rPr>
            </w:pPr>
            <w:r w:rsidRPr="000B6313">
              <w:rPr>
                <w:color w:val="000000" w:themeColor="text1"/>
              </w:rPr>
              <w:t xml:space="preserve">Current </w:t>
            </w:r>
            <w:r w:rsidR="20F7A0F9" w:rsidRPr="000B6313">
              <w:rPr>
                <w:color w:val="000000" w:themeColor="text1"/>
              </w:rPr>
              <w:t xml:space="preserve">trends indicate that demographic growth in the care populations will continue, </w:t>
            </w:r>
            <w:r w:rsidR="5CC864B9" w:rsidRPr="000B6313">
              <w:rPr>
                <w:color w:val="000000" w:themeColor="text1"/>
              </w:rPr>
              <w:t xml:space="preserve">currently estimated as 2% </w:t>
            </w:r>
            <w:r w:rsidR="4F9B3631" w:rsidRPr="000B6313">
              <w:rPr>
                <w:color w:val="000000" w:themeColor="text1"/>
              </w:rPr>
              <w:t>for 18-64 and 6% for 65+ in the next 3 year</w:t>
            </w:r>
            <w:r w:rsidR="43D0E919" w:rsidRPr="000B6313">
              <w:rPr>
                <w:color w:val="000000" w:themeColor="text1"/>
              </w:rPr>
              <w:t>s</w:t>
            </w:r>
            <w:r w:rsidR="4F9B3631" w:rsidRPr="000B6313">
              <w:rPr>
                <w:color w:val="000000" w:themeColor="text1"/>
              </w:rPr>
              <w:t>. P</w:t>
            </w:r>
            <w:r w:rsidR="38AE5B8B" w:rsidRPr="000B6313">
              <w:rPr>
                <w:color w:val="000000" w:themeColor="text1"/>
              </w:rPr>
              <w:t xml:space="preserve">ost </w:t>
            </w:r>
            <w:r w:rsidR="5BFB7DA0" w:rsidRPr="000B6313">
              <w:rPr>
                <w:color w:val="000000" w:themeColor="text1"/>
              </w:rPr>
              <w:t>C</w:t>
            </w:r>
            <w:r w:rsidR="27BB956A" w:rsidRPr="000B6313">
              <w:rPr>
                <w:color w:val="000000" w:themeColor="text1"/>
              </w:rPr>
              <w:t xml:space="preserve">ovid </w:t>
            </w:r>
            <w:r w:rsidR="5A867D10" w:rsidRPr="000B6313">
              <w:rPr>
                <w:color w:val="000000" w:themeColor="text1"/>
              </w:rPr>
              <w:t xml:space="preserve">there was a reduction in the demand for </w:t>
            </w:r>
            <w:r w:rsidR="00C864DF" w:rsidRPr="000B6313">
              <w:rPr>
                <w:color w:val="000000" w:themeColor="text1"/>
              </w:rPr>
              <w:t>care home</w:t>
            </w:r>
            <w:r w:rsidR="5A867D10" w:rsidRPr="000B6313">
              <w:rPr>
                <w:color w:val="000000" w:themeColor="text1"/>
              </w:rPr>
              <w:t xml:space="preserve"> beds, some related to deaths in care homes</w:t>
            </w:r>
            <w:r w:rsidR="003E4CD8" w:rsidRPr="000B6313">
              <w:rPr>
                <w:color w:val="000000" w:themeColor="text1"/>
              </w:rPr>
              <w:t xml:space="preserve"> and reductions were seen across </w:t>
            </w:r>
            <w:r w:rsidR="5A867D10" w:rsidRPr="000B6313">
              <w:rPr>
                <w:color w:val="000000" w:themeColor="text1"/>
              </w:rPr>
              <w:t xml:space="preserve">all bed types. </w:t>
            </w:r>
            <w:r w:rsidR="00C864DF" w:rsidRPr="000B6313">
              <w:rPr>
                <w:color w:val="000000" w:themeColor="text1"/>
              </w:rPr>
              <w:t>Following this d</w:t>
            </w:r>
            <w:r w:rsidR="27BB956A" w:rsidRPr="000B6313">
              <w:rPr>
                <w:color w:val="000000" w:themeColor="text1"/>
              </w:rPr>
              <w:t xml:space="preserve">emand for </w:t>
            </w:r>
            <w:r w:rsidR="52B7AF3E" w:rsidRPr="000B6313">
              <w:rPr>
                <w:color w:val="000000" w:themeColor="text1"/>
              </w:rPr>
              <w:t xml:space="preserve">most </w:t>
            </w:r>
            <w:r w:rsidR="27BB956A" w:rsidRPr="000B6313">
              <w:rPr>
                <w:color w:val="000000" w:themeColor="text1"/>
              </w:rPr>
              <w:t>care beds is</w:t>
            </w:r>
            <w:r w:rsidR="4F9B3631" w:rsidRPr="000B6313">
              <w:rPr>
                <w:color w:val="000000" w:themeColor="text1"/>
              </w:rPr>
              <w:t xml:space="preserve"> recovering toward pre-pandemic level</w:t>
            </w:r>
            <w:r w:rsidR="0030736E" w:rsidRPr="000B6313">
              <w:rPr>
                <w:color w:val="000000" w:themeColor="text1"/>
              </w:rPr>
              <w:t>.</w:t>
            </w:r>
            <w:r w:rsidR="11331E5F" w:rsidRPr="000B6313">
              <w:rPr>
                <w:color w:val="000000" w:themeColor="text1"/>
              </w:rPr>
              <w:t xml:space="preserve"> The </w:t>
            </w:r>
            <w:r w:rsidR="003926EC" w:rsidRPr="000B6313">
              <w:rPr>
                <w:color w:val="000000" w:themeColor="text1"/>
              </w:rPr>
              <w:t xml:space="preserve">market analysis referred to earlier </w:t>
            </w:r>
            <w:r w:rsidR="00C301A7" w:rsidRPr="000B6313">
              <w:rPr>
                <w:color w:val="000000" w:themeColor="text1"/>
              </w:rPr>
              <w:t xml:space="preserve">estimates that </w:t>
            </w:r>
            <w:r w:rsidR="11331E5F" w:rsidRPr="000B6313">
              <w:rPr>
                <w:color w:val="000000" w:themeColor="text1"/>
              </w:rPr>
              <w:t>demand for residential care will stab</w:t>
            </w:r>
            <w:r w:rsidR="3B8A64BF" w:rsidRPr="000B6313">
              <w:rPr>
                <w:color w:val="000000" w:themeColor="text1"/>
              </w:rPr>
              <w:t xml:space="preserve">ilise over the longer term, partly </w:t>
            </w:r>
            <w:proofErr w:type="gramStart"/>
            <w:r w:rsidR="3B8A64BF" w:rsidRPr="000B6313">
              <w:rPr>
                <w:color w:val="000000" w:themeColor="text1"/>
              </w:rPr>
              <w:t>as a result of</w:t>
            </w:r>
            <w:proofErr w:type="gramEnd"/>
            <w:r w:rsidR="3B8A64BF" w:rsidRPr="000B6313">
              <w:rPr>
                <w:color w:val="000000" w:themeColor="text1"/>
              </w:rPr>
              <w:t xml:space="preserve"> more people being supported to live at home, with an increase in demand for nursing beds</w:t>
            </w:r>
            <w:r w:rsidR="11331E5F" w:rsidRPr="000B6313">
              <w:rPr>
                <w:color w:val="000000" w:themeColor="text1"/>
              </w:rPr>
              <w:t>.</w:t>
            </w:r>
            <w:r w:rsidR="1899C0E7" w:rsidRPr="000B6313">
              <w:rPr>
                <w:color w:val="000000" w:themeColor="text1"/>
              </w:rPr>
              <w:t xml:space="preserve"> </w:t>
            </w:r>
            <w:r w:rsidR="00C301A7" w:rsidRPr="000B6313">
              <w:rPr>
                <w:color w:val="000000" w:themeColor="text1"/>
              </w:rPr>
              <w:t>January</w:t>
            </w:r>
            <w:r w:rsidR="00AE65F2" w:rsidRPr="000B6313">
              <w:rPr>
                <w:color w:val="000000" w:themeColor="text1"/>
              </w:rPr>
              <w:t xml:space="preserve"> occupancy information from the National Capacity Tracker provides the available admittable beds by bed type</w:t>
            </w:r>
            <w:r w:rsidR="00A90E75" w:rsidRPr="000B6313">
              <w:rPr>
                <w:color w:val="000000" w:themeColor="text1"/>
              </w:rPr>
              <w:t xml:space="preserve"> (Table 2)</w:t>
            </w:r>
            <w:r w:rsidR="00AE65F2" w:rsidRPr="000B6313">
              <w:rPr>
                <w:color w:val="000000" w:themeColor="text1"/>
              </w:rPr>
              <w:t xml:space="preserve">. </w:t>
            </w:r>
            <w:r w:rsidR="007E73E4" w:rsidRPr="000B6313">
              <w:rPr>
                <w:color w:val="000000" w:themeColor="text1"/>
              </w:rPr>
              <w:t xml:space="preserve">The figures below </w:t>
            </w:r>
            <w:r w:rsidR="00AE65F2" w:rsidRPr="000B6313">
              <w:rPr>
                <w:color w:val="000000" w:themeColor="text1"/>
              </w:rPr>
              <w:t xml:space="preserve">along with the market analysis confirm that the </w:t>
            </w:r>
            <w:r w:rsidR="0D52888D" w:rsidRPr="000B6313">
              <w:rPr>
                <w:color w:val="000000" w:themeColor="text1"/>
              </w:rPr>
              <w:t xml:space="preserve">areas for development in the market are general nursing and dementia beds. </w:t>
            </w:r>
          </w:p>
          <w:p w14:paraId="734C62F2" w14:textId="70174395" w:rsidR="008D2D82" w:rsidRPr="000B6313" w:rsidRDefault="008D2D82" w:rsidP="4C62244E">
            <w:pPr>
              <w:spacing w:after="0" w:line="240" w:lineRule="auto"/>
              <w:rPr>
                <w:color w:val="FF0000"/>
              </w:rPr>
            </w:pPr>
          </w:p>
          <w:p w14:paraId="080D1387" w14:textId="61C99ED1" w:rsidR="008D2D82" w:rsidRPr="000B6313" w:rsidRDefault="00AE65F2" w:rsidP="2AA975AA">
            <w:pPr>
              <w:pStyle w:val="ListParagraph"/>
              <w:numPr>
                <w:ilvl w:val="0"/>
                <w:numId w:val="1"/>
              </w:numPr>
              <w:spacing w:after="0" w:line="240" w:lineRule="auto"/>
              <w:rPr>
                <w:color w:val="000000" w:themeColor="text1"/>
              </w:rPr>
            </w:pPr>
            <w:r w:rsidRPr="000B6313">
              <w:rPr>
                <w:color w:val="000000" w:themeColor="text1"/>
              </w:rPr>
              <w:t xml:space="preserve">General residential </w:t>
            </w:r>
            <w:r w:rsidR="3EB170EF" w:rsidRPr="000B6313">
              <w:rPr>
                <w:color w:val="000000" w:themeColor="text1"/>
              </w:rPr>
              <w:t xml:space="preserve">– </w:t>
            </w:r>
            <w:r w:rsidR="3F09BB4F" w:rsidRPr="000B6313">
              <w:rPr>
                <w:color w:val="000000" w:themeColor="text1"/>
              </w:rPr>
              <w:t>17</w:t>
            </w:r>
            <w:r w:rsidRPr="000B6313">
              <w:rPr>
                <w:color w:val="000000" w:themeColor="text1"/>
              </w:rPr>
              <w:t>% (n=</w:t>
            </w:r>
            <w:r w:rsidR="3F09BB4F" w:rsidRPr="000B6313">
              <w:rPr>
                <w:color w:val="000000" w:themeColor="text1"/>
              </w:rPr>
              <w:t>2</w:t>
            </w:r>
            <w:r w:rsidR="164095CD" w:rsidRPr="000B6313">
              <w:rPr>
                <w:color w:val="000000" w:themeColor="text1"/>
              </w:rPr>
              <w:t>2</w:t>
            </w:r>
            <w:r w:rsidR="3F09BB4F" w:rsidRPr="000B6313">
              <w:rPr>
                <w:color w:val="000000" w:themeColor="text1"/>
              </w:rPr>
              <w:t>6</w:t>
            </w:r>
            <w:r w:rsidRPr="000B6313">
              <w:rPr>
                <w:color w:val="000000" w:themeColor="text1"/>
              </w:rPr>
              <w:t>)</w:t>
            </w:r>
          </w:p>
          <w:p w14:paraId="750BC658" w14:textId="12EC7CB3" w:rsidR="008D2D82" w:rsidRPr="000B6313" w:rsidRDefault="00AE65F2" w:rsidP="2AA975AA">
            <w:pPr>
              <w:pStyle w:val="ListParagraph"/>
              <w:numPr>
                <w:ilvl w:val="0"/>
                <w:numId w:val="1"/>
              </w:numPr>
              <w:spacing w:after="0" w:line="240" w:lineRule="auto"/>
              <w:rPr>
                <w:color w:val="000000" w:themeColor="text1"/>
              </w:rPr>
            </w:pPr>
            <w:r w:rsidRPr="000B6313">
              <w:rPr>
                <w:color w:val="000000" w:themeColor="text1"/>
              </w:rPr>
              <w:t xml:space="preserve">General nursing </w:t>
            </w:r>
            <w:r w:rsidR="3F0D9453" w:rsidRPr="000B6313">
              <w:rPr>
                <w:color w:val="000000" w:themeColor="text1"/>
              </w:rPr>
              <w:t>14</w:t>
            </w:r>
            <w:r w:rsidRPr="000B6313">
              <w:rPr>
                <w:color w:val="000000" w:themeColor="text1"/>
              </w:rPr>
              <w:t>% (n=</w:t>
            </w:r>
            <w:r w:rsidR="149C1CC9" w:rsidRPr="000B6313">
              <w:rPr>
                <w:color w:val="000000" w:themeColor="text1"/>
              </w:rPr>
              <w:t>13</w:t>
            </w:r>
            <w:r w:rsidRPr="000B6313">
              <w:rPr>
                <w:color w:val="000000" w:themeColor="text1"/>
              </w:rPr>
              <w:t>)</w:t>
            </w:r>
          </w:p>
          <w:p w14:paraId="7466D02F" w14:textId="4140ADC3" w:rsidR="008D2D82" w:rsidRPr="000B6313" w:rsidRDefault="00AE65F2" w:rsidP="2AA975AA">
            <w:pPr>
              <w:pStyle w:val="ListParagraph"/>
              <w:numPr>
                <w:ilvl w:val="0"/>
                <w:numId w:val="1"/>
              </w:numPr>
              <w:spacing w:after="0" w:line="240" w:lineRule="auto"/>
              <w:rPr>
                <w:color w:val="000000" w:themeColor="text1"/>
              </w:rPr>
            </w:pPr>
            <w:r w:rsidRPr="000B6313">
              <w:rPr>
                <w:color w:val="000000" w:themeColor="text1"/>
              </w:rPr>
              <w:t xml:space="preserve">Dementia residential </w:t>
            </w:r>
            <w:r w:rsidR="63A9ADA7" w:rsidRPr="000B6313">
              <w:rPr>
                <w:color w:val="000000" w:themeColor="text1"/>
              </w:rPr>
              <w:t>18</w:t>
            </w:r>
            <w:r w:rsidRPr="000B6313">
              <w:rPr>
                <w:color w:val="000000" w:themeColor="text1"/>
              </w:rPr>
              <w:t>% (n=</w:t>
            </w:r>
            <w:r w:rsidR="021AAC11" w:rsidRPr="000B6313">
              <w:rPr>
                <w:color w:val="000000" w:themeColor="text1"/>
              </w:rPr>
              <w:t>15</w:t>
            </w:r>
            <w:r w:rsidR="5D011319" w:rsidRPr="000B6313">
              <w:rPr>
                <w:color w:val="000000" w:themeColor="text1"/>
              </w:rPr>
              <w:t>8</w:t>
            </w:r>
            <w:r w:rsidRPr="000B6313">
              <w:rPr>
                <w:color w:val="000000" w:themeColor="text1"/>
              </w:rPr>
              <w:t>)</w:t>
            </w:r>
          </w:p>
          <w:p w14:paraId="0685A37E" w14:textId="56BC2825" w:rsidR="008D2D82" w:rsidRPr="000B6313" w:rsidRDefault="00AE65F2" w:rsidP="2AA975AA">
            <w:pPr>
              <w:pStyle w:val="ListParagraph"/>
              <w:numPr>
                <w:ilvl w:val="0"/>
                <w:numId w:val="1"/>
              </w:numPr>
              <w:spacing w:after="0" w:line="240" w:lineRule="auto"/>
              <w:rPr>
                <w:color w:val="000000" w:themeColor="text1"/>
              </w:rPr>
            </w:pPr>
            <w:r w:rsidRPr="000B6313">
              <w:rPr>
                <w:color w:val="000000" w:themeColor="text1"/>
              </w:rPr>
              <w:t xml:space="preserve">Dementia nursing </w:t>
            </w:r>
            <w:r w:rsidR="30B37D23" w:rsidRPr="000B6313">
              <w:rPr>
                <w:color w:val="000000" w:themeColor="text1"/>
              </w:rPr>
              <w:t>10</w:t>
            </w:r>
            <w:r w:rsidRPr="000B6313">
              <w:rPr>
                <w:color w:val="000000" w:themeColor="text1"/>
              </w:rPr>
              <w:t>% (n=</w:t>
            </w:r>
            <w:r w:rsidR="149C1CC9" w:rsidRPr="000B6313">
              <w:rPr>
                <w:color w:val="000000" w:themeColor="text1"/>
              </w:rPr>
              <w:t>5</w:t>
            </w:r>
            <w:r w:rsidR="566545DD" w:rsidRPr="000B6313">
              <w:rPr>
                <w:color w:val="000000" w:themeColor="text1"/>
              </w:rPr>
              <w:t>2</w:t>
            </w:r>
            <w:r w:rsidRPr="000B6313">
              <w:rPr>
                <w:color w:val="000000" w:themeColor="text1"/>
              </w:rPr>
              <w:t>)</w:t>
            </w:r>
          </w:p>
          <w:p w14:paraId="0F58B1EB" w14:textId="4F917AA3" w:rsidR="008D2D82" w:rsidRPr="000B6313" w:rsidRDefault="008D2D82" w:rsidP="2AA975AA">
            <w:pPr>
              <w:spacing w:after="0" w:line="240" w:lineRule="auto"/>
              <w:rPr>
                <w:color w:val="000000" w:themeColor="text1"/>
              </w:rPr>
            </w:pPr>
          </w:p>
          <w:p w14:paraId="5175E075" w14:textId="08B81DE8" w:rsidR="008D2D82" w:rsidRDefault="1E72B476" w:rsidP="4C62244E">
            <w:pPr>
              <w:spacing w:after="0" w:line="240" w:lineRule="auto"/>
              <w:rPr>
                <w:color w:val="000000" w:themeColor="text1"/>
              </w:rPr>
            </w:pPr>
            <w:r w:rsidRPr="000B6313">
              <w:rPr>
                <w:color w:val="000000" w:themeColor="text1"/>
              </w:rPr>
              <w:t xml:space="preserve">Demand for </w:t>
            </w:r>
            <w:r w:rsidR="257D3B17" w:rsidRPr="000B6313">
              <w:rPr>
                <w:color w:val="000000" w:themeColor="text1"/>
              </w:rPr>
              <w:t xml:space="preserve">domiciliary </w:t>
            </w:r>
            <w:r w:rsidRPr="000B6313">
              <w:rPr>
                <w:color w:val="000000" w:themeColor="text1"/>
              </w:rPr>
              <w:t xml:space="preserve">care services has grown significantly post </w:t>
            </w:r>
            <w:r w:rsidR="6E07B6ED" w:rsidRPr="000B6313">
              <w:rPr>
                <w:color w:val="000000" w:themeColor="text1"/>
              </w:rPr>
              <w:t>C</w:t>
            </w:r>
            <w:r w:rsidRPr="000B6313">
              <w:rPr>
                <w:color w:val="000000" w:themeColor="text1"/>
              </w:rPr>
              <w:t xml:space="preserve">ovid in an </w:t>
            </w:r>
            <w:r w:rsidR="03D11B4D" w:rsidRPr="000B6313">
              <w:rPr>
                <w:color w:val="000000" w:themeColor="text1"/>
              </w:rPr>
              <w:t>already constrained</w:t>
            </w:r>
            <w:r w:rsidR="2F905D6D" w:rsidRPr="000B6313">
              <w:rPr>
                <w:color w:val="000000" w:themeColor="text1"/>
              </w:rPr>
              <w:t xml:space="preserve"> market</w:t>
            </w:r>
            <w:r w:rsidR="7D9543C9" w:rsidRPr="000B6313">
              <w:rPr>
                <w:color w:val="000000" w:themeColor="text1"/>
              </w:rPr>
              <w:t xml:space="preserve">. Figure </w:t>
            </w:r>
            <w:r w:rsidR="002A7EF4" w:rsidRPr="000B6313">
              <w:rPr>
                <w:color w:val="000000" w:themeColor="text1"/>
              </w:rPr>
              <w:t>3</w:t>
            </w:r>
            <w:r w:rsidR="7D9543C9" w:rsidRPr="000B6313">
              <w:rPr>
                <w:color w:val="000000" w:themeColor="text1"/>
              </w:rPr>
              <w:t xml:space="preserve"> shows the increase in totals weekly hours commissioned in the last 12 months. </w:t>
            </w:r>
          </w:p>
          <w:p w14:paraId="1A5FFE49" w14:textId="6FAB086A" w:rsidR="00C54A7F" w:rsidRDefault="00C54A7F" w:rsidP="4C62244E">
            <w:pPr>
              <w:spacing w:after="0" w:line="240" w:lineRule="auto"/>
              <w:rPr>
                <w:color w:val="000000" w:themeColor="text1"/>
              </w:rPr>
            </w:pPr>
          </w:p>
          <w:p w14:paraId="0F6EB8CE" w14:textId="25B478B3" w:rsidR="00C54A7F" w:rsidRDefault="00C54A7F" w:rsidP="4C62244E">
            <w:pPr>
              <w:spacing w:after="0" w:line="240" w:lineRule="auto"/>
              <w:rPr>
                <w:color w:val="000000" w:themeColor="text1"/>
              </w:rPr>
            </w:pPr>
          </w:p>
          <w:p w14:paraId="178737E8" w14:textId="397880B2" w:rsidR="00C54A7F" w:rsidRDefault="00C54A7F" w:rsidP="4C62244E">
            <w:pPr>
              <w:spacing w:after="0" w:line="240" w:lineRule="auto"/>
              <w:rPr>
                <w:color w:val="000000" w:themeColor="text1"/>
              </w:rPr>
            </w:pPr>
          </w:p>
          <w:p w14:paraId="5EEDF618" w14:textId="6A06D0DB" w:rsidR="00C54A7F" w:rsidRDefault="00C54A7F" w:rsidP="4C62244E">
            <w:pPr>
              <w:spacing w:after="0" w:line="240" w:lineRule="auto"/>
              <w:rPr>
                <w:color w:val="000000" w:themeColor="text1"/>
              </w:rPr>
            </w:pPr>
          </w:p>
          <w:p w14:paraId="22874F1B" w14:textId="77777777" w:rsidR="00C54A7F" w:rsidRDefault="00C54A7F" w:rsidP="4C62244E">
            <w:pPr>
              <w:spacing w:after="0" w:line="240" w:lineRule="auto"/>
              <w:rPr>
                <w:color w:val="000000" w:themeColor="text1"/>
              </w:rPr>
            </w:pPr>
          </w:p>
          <w:p w14:paraId="584E298B" w14:textId="48D359EF" w:rsidR="008D2D82" w:rsidRPr="000B6313" w:rsidRDefault="008D2D82" w:rsidP="4C62244E">
            <w:pPr>
              <w:spacing w:after="0" w:line="240" w:lineRule="auto"/>
              <w:rPr>
                <w:color w:val="000000" w:themeColor="text1"/>
              </w:rPr>
            </w:pPr>
          </w:p>
          <w:p w14:paraId="40355DF4" w14:textId="0F46E8C3" w:rsidR="008D2D82" w:rsidRPr="000B6313" w:rsidRDefault="7D9543C9" w:rsidP="4C62244E">
            <w:pPr>
              <w:spacing w:after="0" w:line="240" w:lineRule="auto"/>
              <w:rPr>
                <w:b/>
                <w:bCs/>
                <w:color w:val="000000" w:themeColor="text1"/>
              </w:rPr>
            </w:pPr>
            <w:r w:rsidRPr="000B6313">
              <w:rPr>
                <w:b/>
                <w:bCs/>
                <w:color w:val="000000" w:themeColor="text1"/>
              </w:rPr>
              <w:t xml:space="preserve">Figure </w:t>
            </w:r>
            <w:r w:rsidR="002A7EF4" w:rsidRPr="000B6313">
              <w:rPr>
                <w:b/>
                <w:bCs/>
                <w:color w:val="000000" w:themeColor="text1"/>
              </w:rPr>
              <w:t xml:space="preserve">3: Trend in Total Weekly Hours </w:t>
            </w:r>
            <w:r w:rsidR="004A403E" w:rsidRPr="000B6313">
              <w:rPr>
                <w:b/>
                <w:bCs/>
                <w:color w:val="000000" w:themeColor="text1"/>
              </w:rPr>
              <w:t>o</w:t>
            </w:r>
            <w:r w:rsidR="002A7EF4" w:rsidRPr="000B6313">
              <w:rPr>
                <w:b/>
                <w:bCs/>
                <w:color w:val="000000" w:themeColor="text1"/>
              </w:rPr>
              <w:t>f Commissioned Home Care</w:t>
            </w:r>
            <w:r w:rsidR="002C1818">
              <w:rPr>
                <w:b/>
                <w:bCs/>
                <w:color w:val="000000" w:themeColor="text1"/>
              </w:rPr>
              <w:t xml:space="preserve"> (February 2023)</w:t>
            </w:r>
          </w:p>
          <w:p w14:paraId="21A7B5EA" w14:textId="7E35E9D9" w:rsidR="008D2D82" w:rsidRPr="000B6313" w:rsidRDefault="008D2D82" w:rsidP="4C62244E">
            <w:pPr>
              <w:spacing w:after="0" w:line="240" w:lineRule="auto"/>
              <w:rPr>
                <w:color w:val="000000" w:themeColor="text1"/>
              </w:rPr>
            </w:pPr>
          </w:p>
          <w:p w14:paraId="69228369" w14:textId="77777777" w:rsidR="002C1818" w:rsidRPr="002C1818" w:rsidRDefault="002C1818" w:rsidP="002C1818">
            <w:pPr>
              <w:suppressAutoHyphens w:val="0"/>
              <w:autoSpaceDN/>
              <w:spacing w:after="0" w:line="240" w:lineRule="auto"/>
              <w:textAlignment w:val="auto"/>
              <w:rPr>
                <w:rFonts w:ascii="Times New Roman" w:eastAsia="Times New Roman" w:hAnsi="Times New Roman" w:cs="Times New Roman"/>
                <w:lang w:eastAsia="en-GB"/>
              </w:rPr>
            </w:pPr>
            <w:r w:rsidRPr="002C1818">
              <w:rPr>
                <w:noProof/>
              </w:rPr>
              <w:drawing>
                <wp:inline distT="0" distB="0" distL="0" distR="0" wp14:anchorId="6C183812" wp14:editId="782BFE13">
                  <wp:extent cx="3517900" cy="21653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7900" cy="2165350"/>
                          </a:xfrm>
                          <a:prstGeom prst="rect">
                            <a:avLst/>
                          </a:prstGeom>
                          <a:noFill/>
                          <a:ln>
                            <a:noFill/>
                          </a:ln>
                        </pic:spPr>
                      </pic:pic>
                    </a:graphicData>
                  </a:graphic>
                </wp:inline>
              </w:drawing>
            </w:r>
          </w:p>
          <w:p w14:paraId="50DBDC3F" w14:textId="2E5C2C60" w:rsidR="008D2D82" w:rsidRPr="000B6313" w:rsidRDefault="008D2D82" w:rsidP="4C62244E">
            <w:pPr>
              <w:spacing w:after="0" w:line="240" w:lineRule="auto"/>
            </w:pPr>
          </w:p>
          <w:p w14:paraId="283161F4" w14:textId="48879C01" w:rsidR="008D2D82" w:rsidRPr="000B6313" w:rsidRDefault="008D2D82" w:rsidP="4C62244E">
            <w:pPr>
              <w:spacing w:after="0" w:line="240" w:lineRule="auto"/>
              <w:rPr>
                <w:color w:val="000000" w:themeColor="text1"/>
              </w:rPr>
            </w:pPr>
          </w:p>
          <w:p w14:paraId="0DF9A48F" w14:textId="310071BB" w:rsidR="008D2D82" w:rsidRPr="000B6313" w:rsidRDefault="15A75D72" w:rsidP="4C62244E">
            <w:pPr>
              <w:spacing w:after="0" w:line="240" w:lineRule="auto"/>
              <w:rPr>
                <w:color w:val="000000" w:themeColor="text1"/>
              </w:rPr>
            </w:pPr>
            <w:r w:rsidRPr="000B6313">
              <w:rPr>
                <w:color w:val="000000" w:themeColor="text1"/>
              </w:rPr>
              <w:t xml:space="preserve">The total number of weekly commissioned hours in January 23 was 26,518. This compares with </w:t>
            </w:r>
            <w:r w:rsidR="2D381ED8" w:rsidRPr="000B6313">
              <w:rPr>
                <w:color w:val="000000" w:themeColor="text1"/>
              </w:rPr>
              <w:t>15,774 weekly commissioned hours in Jan 21</w:t>
            </w:r>
            <w:r w:rsidR="009919F4" w:rsidRPr="000B6313">
              <w:rPr>
                <w:color w:val="000000" w:themeColor="text1"/>
              </w:rPr>
              <w:t xml:space="preserve"> which is a 68% increase</w:t>
            </w:r>
            <w:r w:rsidR="2D381ED8" w:rsidRPr="000B6313">
              <w:rPr>
                <w:color w:val="000000" w:themeColor="text1"/>
              </w:rPr>
              <w:t xml:space="preserve">. </w:t>
            </w:r>
            <w:r w:rsidR="00D03482">
              <w:rPr>
                <w:color w:val="000000" w:themeColor="text1"/>
              </w:rPr>
              <w:t xml:space="preserve">The total number of clients increased from </w:t>
            </w:r>
            <w:r w:rsidR="00EC67B8">
              <w:rPr>
                <w:color w:val="000000" w:themeColor="text1"/>
              </w:rPr>
              <w:t xml:space="preserve">1,219 to </w:t>
            </w:r>
            <w:proofErr w:type="gramStart"/>
            <w:r w:rsidR="00EC67B8">
              <w:rPr>
                <w:color w:val="000000" w:themeColor="text1"/>
              </w:rPr>
              <w:t>1,515, and</w:t>
            </w:r>
            <w:proofErr w:type="gramEnd"/>
            <w:r w:rsidR="00EC67B8">
              <w:rPr>
                <w:color w:val="000000" w:themeColor="text1"/>
              </w:rPr>
              <w:t xml:space="preserve"> increase of</w:t>
            </w:r>
            <w:r w:rsidR="00F20527">
              <w:rPr>
                <w:color w:val="000000" w:themeColor="text1"/>
              </w:rPr>
              <w:t xml:space="preserve"> 24%.</w:t>
            </w:r>
          </w:p>
          <w:p w14:paraId="5110DD04" w14:textId="0088717E" w:rsidR="008D2D82" w:rsidRPr="000B6313" w:rsidRDefault="008D2D82" w:rsidP="4C62244E">
            <w:pPr>
              <w:spacing w:after="0" w:line="240" w:lineRule="auto"/>
              <w:rPr>
                <w:color w:val="000000" w:themeColor="text1"/>
              </w:rPr>
            </w:pPr>
          </w:p>
          <w:p w14:paraId="2D24E551" w14:textId="2227F903" w:rsidR="008D2D82" w:rsidRPr="000B6313" w:rsidRDefault="45605CFE" w:rsidP="4C62244E">
            <w:pPr>
              <w:spacing w:after="0" w:line="240" w:lineRule="auto"/>
              <w:rPr>
                <w:color w:val="000000" w:themeColor="text1"/>
              </w:rPr>
            </w:pPr>
            <w:r w:rsidRPr="000B6313">
              <w:rPr>
                <w:color w:val="000000" w:themeColor="text1"/>
              </w:rPr>
              <w:t>Complexity is also increasing with the average number of hours per client rising from 12.94 in January 2021 to 17.5 hours in January 2023.</w:t>
            </w:r>
          </w:p>
          <w:p w14:paraId="6BC7D270" w14:textId="09B88F0A" w:rsidR="008D2D82" w:rsidRPr="000B6313" w:rsidRDefault="008D2D82" w:rsidP="4C62244E">
            <w:pPr>
              <w:spacing w:after="0" w:line="240" w:lineRule="auto"/>
              <w:rPr>
                <w:color w:val="000000" w:themeColor="text1"/>
              </w:rPr>
            </w:pPr>
          </w:p>
          <w:p w14:paraId="077F920C" w14:textId="6FE805A4" w:rsidR="008D2D82" w:rsidRPr="000B6313" w:rsidRDefault="6B734CE3" w:rsidP="24AF049D">
            <w:pPr>
              <w:spacing w:after="0" w:line="240" w:lineRule="auto"/>
              <w:rPr>
                <w:color w:val="000000" w:themeColor="text1"/>
              </w:rPr>
            </w:pPr>
            <w:r w:rsidRPr="000B6313">
              <w:rPr>
                <w:color w:val="000000" w:themeColor="text1"/>
              </w:rPr>
              <w:t>Work has been ongoing to continue</w:t>
            </w:r>
            <w:r w:rsidR="1E3873BD" w:rsidRPr="000B6313">
              <w:rPr>
                <w:color w:val="000000" w:themeColor="text1"/>
              </w:rPr>
              <w:t xml:space="preserve"> to grow the </w:t>
            </w:r>
            <w:r w:rsidRPr="000B6313">
              <w:rPr>
                <w:color w:val="000000" w:themeColor="text1"/>
              </w:rPr>
              <w:t xml:space="preserve">capacity in the home care market and </w:t>
            </w:r>
            <w:r w:rsidR="7ADC0D6C" w:rsidRPr="000B6313">
              <w:rPr>
                <w:color w:val="000000" w:themeColor="text1"/>
              </w:rPr>
              <w:t xml:space="preserve">will </w:t>
            </w:r>
            <w:r w:rsidR="4707BCC7" w:rsidRPr="000B6313">
              <w:rPr>
                <w:color w:val="000000" w:themeColor="text1"/>
              </w:rPr>
              <w:t>continue</w:t>
            </w:r>
            <w:r w:rsidR="1E3873BD" w:rsidRPr="000B6313">
              <w:rPr>
                <w:color w:val="000000" w:themeColor="text1"/>
              </w:rPr>
              <w:t xml:space="preserve"> to respond to further </w:t>
            </w:r>
            <w:r w:rsidR="62B43950" w:rsidRPr="000B6313">
              <w:rPr>
                <w:color w:val="000000" w:themeColor="text1"/>
              </w:rPr>
              <w:t>demand.</w:t>
            </w:r>
            <w:r w:rsidR="36C33CB8" w:rsidRPr="000B6313">
              <w:rPr>
                <w:color w:val="000000" w:themeColor="text1"/>
              </w:rPr>
              <w:t xml:space="preserve"> </w:t>
            </w:r>
          </w:p>
          <w:p w14:paraId="29C0DFC6" w14:textId="6755689F" w:rsidR="008F7BBE" w:rsidRPr="000B6313" w:rsidRDefault="008F7BBE" w:rsidP="00AC0852">
            <w:pPr>
              <w:spacing w:after="0" w:line="240" w:lineRule="auto"/>
              <w:rPr>
                <w:color w:val="000000" w:themeColor="text1"/>
              </w:rPr>
            </w:pPr>
          </w:p>
          <w:p w14:paraId="4FF4B644" w14:textId="5C19ABA3" w:rsidR="572B04B1" w:rsidRPr="000B6313" w:rsidRDefault="1845BFF7" w:rsidP="572B04B1">
            <w:pPr>
              <w:spacing w:after="0" w:line="240" w:lineRule="auto"/>
              <w:rPr>
                <w:color w:val="000000" w:themeColor="text1"/>
              </w:rPr>
            </w:pPr>
            <w:r w:rsidRPr="000B6313">
              <w:rPr>
                <w:color w:val="000000" w:themeColor="text1"/>
              </w:rPr>
              <w:t>In addition to demand</w:t>
            </w:r>
            <w:r w:rsidR="00D94E0A" w:rsidRPr="000B6313">
              <w:rPr>
                <w:color w:val="000000" w:themeColor="text1"/>
              </w:rPr>
              <w:t xml:space="preserve"> </w:t>
            </w:r>
            <w:r w:rsidRPr="000B6313">
              <w:rPr>
                <w:color w:val="000000" w:themeColor="text1"/>
              </w:rPr>
              <w:t>growth</w:t>
            </w:r>
            <w:r w:rsidR="00D94E0A" w:rsidRPr="000B6313">
              <w:rPr>
                <w:color w:val="000000" w:themeColor="text1"/>
              </w:rPr>
              <w:t>,</w:t>
            </w:r>
            <w:r w:rsidRPr="000B6313">
              <w:rPr>
                <w:color w:val="000000" w:themeColor="text1"/>
              </w:rPr>
              <w:t xml:space="preserve"> the acuity of need</w:t>
            </w:r>
            <w:r w:rsidR="5F9803BA" w:rsidRPr="000B6313">
              <w:rPr>
                <w:color w:val="000000" w:themeColor="text1"/>
              </w:rPr>
              <w:t>, and hence the type of service demand</w:t>
            </w:r>
            <w:r w:rsidR="77EC337F" w:rsidRPr="000B6313">
              <w:rPr>
                <w:color w:val="000000" w:themeColor="text1"/>
              </w:rPr>
              <w:t>,</w:t>
            </w:r>
            <w:r w:rsidR="5F9803BA" w:rsidRPr="000B6313">
              <w:rPr>
                <w:color w:val="000000" w:themeColor="text1"/>
              </w:rPr>
              <w:t xml:space="preserve"> is likely to change with a shi</w:t>
            </w:r>
            <w:r w:rsidR="7840DFB4" w:rsidRPr="000B6313">
              <w:rPr>
                <w:color w:val="000000" w:themeColor="text1"/>
              </w:rPr>
              <w:t>f</w:t>
            </w:r>
            <w:r w:rsidR="5F9803BA" w:rsidRPr="000B6313">
              <w:rPr>
                <w:color w:val="000000" w:themeColor="text1"/>
              </w:rPr>
              <w:t>t towards more complex care</w:t>
            </w:r>
            <w:r w:rsidR="7840DFB4" w:rsidRPr="000B6313">
              <w:rPr>
                <w:color w:val="000000" w:themeColor="text1"/>
              </w:rPr>
              <w:t xml:space="preserve"> </w:t>
            </w:r>
            <w:r w:rsidRPr="000B6313">
              <w:rPr>
                <w:color w:val="000000" w:themeColor="text1"/>
              </w:rPr>
              <w:t xml:space="preserve">across both </w:t>
            </w:r>
            <w:bookmarkStart w:id="1" w:name="_Int_iXXTWcTo"/>
            <w:r w:rsidRPr="000B6313">
              <w:rPr>
                <w:color w:val="000000" w:themeColor="text1"/>
              </w:rPr>
              <w:t>bed</w:t>
            </w:r>
            <w:r w:rsidR="573EA618" w:rsidRPr="000B6313">
              <w:rPr>
                <w:color w:val="000000" w:themeColor="text1"/>
              </w:rPr>
              <w:t>-</w:t>
            </w:r>
            <w:bookmarkEnd w:id="1"/>
            <w:r w:rsidRPr="000B6313">
              <w:rPr>
                <w:color w:val="000000" w:themeColor="text1"/>
              </w:rPr>
              <w:t xml:space="preserve">based and </w:t>
            </w:r>
            <w:r w:rsidR="6C0B0FF1" w:rsidRPr="000B6313">
              <w:rPr>
                <w:color w:val="000000" w:themeColor="text1"/>
              </w:rPr>
              <w:t>community-based</w:t>
            </w:r>
            <w:r w:rsidRPr="000B6313">
              <w:rPr>
                <w:color w:val="000000" w:themeColor="text1"/>
              </w:rPr>
              <w:t xml:space="preserve"> care. </w:t>
            </w:r>
            <w:r w:rsidR="499C91BE" w:rsidRPr="000B6313">
              <w:rPr>
                <w:color w:val="000000" w:themeColor="text1"/>
              </w:rPr>
              <w:t>I</w:t>
            </w:r>
            <w:r w:rsidR="6902CF3F" w:rsidRPr="000B6313">
              <w:rPr>
                <w:color w:val="000000" w:themeColor="text1"/>
              </w:rPr>
              <w:t xml:space="preserve">nvestment into supporting market development around changing growth and </w:t>
            </w:r>
            <w:r w:rsidR="2A481E0B" w:rsidRPr="000B6313">
              <w:rPr>
                <w:color w:val="000000" w:themeColor="text1"/>
              </w:rPr>
              <w:t xml:space="preserve">the </w:t>
            </w:r>
            <w:r w:rsidR="6902CF3F" w:rsidRPr="000B6313">
              <w:rPr>
                <w:color w:val="000000" w:themeColor="text1"/>
              </w:rPr>
              <w:t>need</w:t>
            </w:r>
            <w:r w:rsidR="7840DFB4" w:rsidRPr="000B6313">
              <w:rPr>
                <w:color w:val="000000" w:themeColor="text1"/>
              </w:rPr>
              <w:t>s</w:t>
            </w:r>
            <w:r w:rsidR="6902CF3F" w:rsidRPr="000B6313">
              <w:rPr>
                <w:color w:val="000000" w:themeColor="text1"/>
              </w:rPr>
              <w:t xml:space="preserve"> profile will be paramount to market sustainability</w:t>
            </w:r>
            <w:r w:rsidR="0179DFBB" w:rsidRPr="000B6313">
              <w:rPr>
                <w:color w:val="000000" w:themeColor="text1"/>
              </w:rPr>
              <w:t xml:space="preserve">. </w:t>
            </w:r>
          </w:p>
          <w:p w14:paraId="5FDEBCF0" w14:textId="36A11776" w:rsidR="00FD4B85" w:rsidRPr="000B6313" w:rsidRDefault="00FD4B85" w:rsidP="002638D9">
            <w:pPr>
              <w:spacing w:after="0" w:line="240" w:lineRule="auto"/>
              <w:rPr>
                <w:color w:val="000000" w:themeColor="text1"/>
              </w:rPr>
            </w:pPr>
          </w:p>
          <w:p w14:paraId="63DC6159" w14:textId="524AF38F" w:rsidR="000821E6" w:rsidRPr="000B6313" w:rsidRDefault="584F1BC9" w:rsidP="000A5783">
            <w:pPr>
              <w:spacing w:after="0" w:line="240" w:lineRule="auto"/>
              <w:rPr>
                <w:color w:val="000000" w:themeColor="text1"/>
              </w:rPr>
            </w:pPr>
            <w:r w:rsidRPr="000B6313">
              <w:t xml:space="preserve">The findings for the </w:t>
            </w:r>
            <w:r w:rsidR="7770EC2E" w:rsidRPr="000B6313">
              <w:t>domiciliary c</w:t>
            </w:r>
            <w:r w:rsidRPr="000B6313">
              <w:t xml:space="preserve">are market in relation to </w:t>
            </w:r>
            <w:r w:rsidR="3DEECB36" w:rsidRPr="000B6313">
              <w:t>f</w:t>
            </w:r>
            <w:r w:rsidRPr="000B6313">
              <w:t>air cost of care must be considered in the context of an insignificant sample size</w:t>
            </w:r>
            <w:r w:rsidR="20CB8E58" w:rsidRPr="000B6313">
              <w:t>.</w:t>
            </w:r>
            <w:r w:rsidR="6CE2CD65" w:rsidRPr="000B6313">
              <w:t xml:space="preserve"> </w:t>
            </w:r>
            <w:r w:rsidR="09787717" w:rsidRPr="000B6313">
              <w:t>The UK Care Home Association (UKHCA) publish</w:t>
            </w:r>
            <w:r w:rsidR="7244EE9B" w:rsidRPr="000B6313">
              <w:t>ed</w:t>
            </w:r>
            <w:r w:rsidR="09787717" w:rsidRPr="000B6313">
              <w:t xml:space="preserve"> annual calculation for </w:t>
            </w:r>
            <w:r w:rsidR="20CB8E58" w:rsidRPr="000B6313">
              <w:t>a</w:t>
            </w:r>
            <w:r w:rsidR="09787717" w:rsidRPr="000B6313">
              <w:t xml:space="preserve"> fair cost of </w:t>
            </w:r>
            <w:r w:rsidR="75D10D83" w:rsidRPr="000B6313">
              <w:t>domiciliary</w:t>
            </w:r>
            <w:r w:rsidR="09787717" w:rsidRPr="000B6313">
              <w:t xml:space="preserve"> care</w:t>
            </w:r>
            <w:r w:rsidR="7244EE9B" w:rsidRPr="000B6313">
              <w:t xml:space="preserve"> suggests a </w:t>
            </w:r>
            <w:r w:rsidR="00050DE6" w:rsidRPr="000B6313">
              <w:t xml:space="preserve">minimum </w:t>
            </w:r>
            <w:r w:rsidR="7244EE9B" w:rsidRPr="000B6313">
              <w:t xml:space="preserve">rate of </w:t>
            </w:r>
            <w:r w:rsidR="09787717" w:rsidRPr="000B6313">
              <w:t>£23.20 per hour</w:t>
            </w:r>
            <w:r w:rsidR="00050DE6" w:rsidRPr="000B6313">
              <w:t xml:space="preserve"> for the current financial year</w:t>
            </w:r>
            <w:r w:rsidR="6CE2CD65" w:rsidRPr="000B6313">
              <w:t xml:space="preserve">; </w:t>
            </w:r>
            <w:r w:rsidR="4B2FD4C2" w:rsidRPr="000B6313">
              <w:t xml:space="preserve">the local fair cost of care exercise </w:t>
            </w:r>
            <w:r w:rsidR="6CE2CD65" w:rsidRPr="000B6313">
              <w:t xml:space="preserve">is </w:t>
            </w:r>
            <w:r w:rsidR="4B2FD4C2" w:rsidRPr="000B6313">
              <w:t>reporting a higher value</w:t>
            </w:r>
            <w:r w:rsidR="001A7283" w:rsidRPr="000B6313">
              <w:t xml:space="preserve"> (£28.32 </w:t>
            </w:r>
            <w:proofErr w:type="spellStart"/>
            <w:r w:rsidR="001A7283" w:rsidRPr="000B6313">
              <w:t>p.h</w:t>
            </w:r>
            <w:proofErr w:type="spellEnd"/>
            <w:r w:rsidR="001A7283" w:rsidRPr="000B6313">
              <w:t>)</w:t>
            </w:r>
            <w:r w:rsidR="09787717" w:rsidRPr="000B6313">
              <w:t>.</w:t>
            </w:r>
            <w:r w:rsidR="6B13BE51" w:rsidRPr="000B6313">
              <w:t xml:space="preserve"> </w:t>
            </w:r>
            <w:r w:rsidR="18D6936B" w:rsidRPr="000B6313">
              <w:rPr>
                <w:color w:val="000000" w:themeColor="text1"/>
              </w:rPr>
              <w:t>For</w:t>
            </w:r>
            <w:r w:rsidR="4B2FD4C2" w:rsidRPr="000B6313">
              <w:rPr>
                <w:color w:val="000000" w:themeColor="text1"/>
              </w:rPr>
              <w:t xml:space="preserve"> unit costs and pricing to be sustainable</w:t>
            </w:r>
            <w:r w:rsidR="003662AF" w:rsidRPr="000B6313">
              <w:rPr>
                <w:color w:val="000000" w:themeColor="text1"/>
              </w:rPr>
              <w:t>,</w:t>
            </w:r>
            <w:r w:rsidR="4B2FD4C2" w:rsidRPr="000B6313">
              <w:rPr>
                <w:color w:val="000000" w:themeColor="text1"/>
              </w:rPr>
              <w:t xml:space="preserve"> the rates must be sustainable for Buckinghamshire Council, </w:t>
            </w:r>
            <w:r w:rsidR="72902476" w:rsidRPr="000B6313">
              <w:rPr>
                <w:color w:val="000000" w:themeColor="text1"/>
              </w:rPr>
              <w:t>p</w:t>
            </w:r>
            <w:r w:rsidR="4B2FD4C2" w:rsidRPr="000B6313">
              <w:rPr>
                <w:color w:val="000000" w:themeColor="text1"/>
              </w:rPr>
              <w:t xml:space="preserve">roviders and </w:t>
            </w:r>
            <w:r w:rsidR="3A0852F4" w:rsidRPr="000B6313">
              <w:rPr>
                <w:color w:val="000000" w:themeColor="text1"/>
              </w:rPr>
              <w:t>s</w:t>
            </w:r>
            <w:r w:rsidR="4B2FD4C2" w:rsidRPr="000B6313">
              <w:rPr>
                <w:color w:val="000000" w:themeColor="text1"/>
              </w:rPr>
              <w:t xml:space="preserve">ervice </w:t>
            </w:r>
            <w:r w:rsidR="306F65C1" w:rsidRPr="000B6313">
              <w:rPr>
                <w:color w:val="000000" w:themeColor="text1"/>
              </w:rPr>
              <w:t>u</w:t>
            </w:r>
            <w:r w:rsidR="4B2FD4C2" w:rsidRPr="000B6313">
              <w:rPr>
                <w:color w:val="000000" w:themeColor="text1"/>
              </w:rPr>
              <w:t>sers, and the fair cost of care exercise should be considered in the context of the market need</w:t>
            </w:r>
            <w:r w:rsidR="001F2E89">
              <w:rPr>
                <w:color w:val="000000" w:themeColor="text1"/>
              </w:rPr>
              <w:t xml:space="preserve">, </w:t>
            </w:r>
            <w:proofErr w:type="gramStart"/>
            <w:r w:rsidR="4B2FD4C2" w:rsidRPr="000B6313">
              <w:rPr>
                <w:color w:val="000000" w:themeColor="text1"/>
              </w:rPr>
              <w:t>affordability</w:t>
            </w:r>
            <w:proofErr w:type="gramEnd"/>
            <w:r w:rsidR="001F2E89">
              <w:rPr>
                <w:color w:val="000000" w:themeColor="text1"/>
              </w:rPr>
              <w:t xml:space="preserve"> and value for money</w:t>
            </w:r>
            <w:r w:rsidR="68103E26" w:rsidRPr="000B6313">
              <w:rPr>
                <w:color w:val="000000" w:themeColor="text1"/>
              </w:rPr>
              <w:t>.</w:t>
            </w:r>
          </w:p>
          <w:p w14:paraId="0B9F0FEB" w14:textId="16D3A79B" w:rsidR="00B308C5" w:rsidRPr="000B6313" w:rsidRDefault="00B308C5" w:rsidP="00880163">
            <w:pPr>
              <w:spacing w:after="0" w:line="240" w:lineRule="auto"/>
              <w:rPr>
                <w:i/>
                <w:iCs/>
                <w:color w:val="70AD47"/>
              </w:rPr>
            </w:pPr>
          </w:p>
        </w:tc>
      </w:tr>
      <w:tr w:rsidR="00D766C2" w:rsidRPr="000B6313" w14:paraId="754BEA99"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506E5" w14:textId="77777777" w:rsidR="00D766C2" w:rsidRPr="00D766C2" w:rsidRDefault="00D766C2" w:rsidP="00D766C2">
            <w:pPr>
              <w:pStyle w:val="NormalWeb"/>
              <w:spacing w:before="0" w:beforeAutospacing="0" w:after="0" w:afterAutospacing="0"/>
              <w:rPr>
                <w:rFonts w:ascii="Arial" w:hAnsi="Arial" w:cs="Arial"/>
                <w:b/>
                <w:bCs/>
              </w:rPr>
            </w:pPr>
            <w:r w:rsidRPr="00D766C2">
              <w:rPr>
                <w:rFonts w:ascii="Arial" w:hAnsi="Arial" w:cs="Arial"/>
                <w:color w:val="000000"/>
              </w:rPr>
              <w:lastRenderedPageBreak/>
              <w:t>Section 3: Plans for each market to address sustainability issues</w:t>
            </w:r>
          </w:p>
          <w:p w14:paraId="7DE27FC0" w14:textId="77777777" w:rsidR="00D766C2" w:rsidRPr="00D766C2" w:rsidRDefault="00D766C2" w:rsidP="006A76FF">
            <w:pPr>
              <w:pStyle w:val="NormalWeb"/>
              <w:spacing w:before="0" w:beforeAutospacing="0" w:after="0" w:afterAutospacing="0"/>
              <w:rPr>
                <w:rFonts w:ascii="Arial" w:hAnsi="Arial" w:cs="Arial"/>
                <w:color w:val="000000"/>
              </w:rPr>
            </w:pPr>
          </w:p>
        </w:tc>
      </w:tr>
      <w:tr w:rsidR="005D24CB" w:rsidRPr="000B6313" w14:paraId="0B9F0FFC"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2E0719" w14:textId="77777777" w:rsidR="00D766C2" w:rsidRDefault="00D766C2" w:rsidP="006F6376">
            <w:pPr>
              <w:spacing w:after="0" w:line="240" w:lineRule="auto"/>
            </w:pPr>
          </w:p>
          <w:p w14:paraId="04FD7DF7" w14:textId="339368F3" w:rsidR="006F6376" w:rsidRPr="000B6313" w:rsidRDefault="00D766C2" w:rsidP="006F6376">
            <w:pPr>
              <w:spacing w:after="0" w:line="240" w:lineRule="auto"/>
            </w:pPr>
            <w:r>
              <w:t>A</w:t>
            </w:r>
            <w:r w:rsidR="65FDA71B" w:rsidRPr="000B6313">
              <w:t xml:space="preserve">s already identified </w:t>
            </w:r>
            <w:r w:rsidR="34E3B2FD" w:rsidRPr="000B6313">
              <w:t>Buckinghamshire Council plans to</w:t>
            </w:r>
            <w:r w:rsidR="65FDA71B" w:rsidRPr="000B6313">
              <w:t xml:space="preserve"> develop a more strategic approach to the commissioning of </w:t>
            </w:r>
            <w:r w:rsidR="1B0BB5E3" w:rsidRPr="000B6313">
              <w:t>65+ care</w:t>
            </w:r>
            <w:r w:rsidR="0093699A" w:rsidRPr="000B6313">
              <w:t xml:space="preserve"> and nursing</w:t>
            </w:r>
            <w:r w:rsidR="1B0BB5E3" w:rsidRPr="000B6313">
              <w:t xml:space="preserve"> home provision and 18+ domiciliary care provision through the introduction of dynamic purchasing vehicles</w:t>
            </w:r>
            <w:r w:rsidR="44CF65C3" w:rsidRPr="000B6313">
              <w:t xml:space="preserve">. </w:t>
            </w:r>
            <w:r w:rsidR="16B311DD" w:rsidRPr="000B6313">
              <w:lastRenderedPageBreak/>
              <w:t xml:space="preserve">The dynamic purchasing vehicles will </w:t>
            </w:r>
            <w:r w:rsidR="37446F0C" w:rsidRPr="000B6313">
              <w:t>deliver a co-ordinated approach to</w:t>
            </w:r>
            <w:r w:rsidR="16B311DD" w:rsidRPr="000B6313">
              <w:t xml:space="preserve"> </w:t>
            </w:r>
            <w:r w:rsidR="2D50AAC7" w:rsidRPr="000B6313">
              <w:t xml:space="preserve">local authority and NHS funded </w:t>
            </w:r>
            <w:r w:rsidR="455019B4" w:rsidRPr="000B6313">
              <w:t xml:space="preserve">commissioned </w:t>
            </w:r>
            <w:r w:rsidR="2D50AAC7" w:rsidRPr="000B6313">
              <w:t>care.</w:t>
            </w:r>
            <w:r w:rsidR="0093699A" w:rsidRPr="000B6313">
              <w:t xml:space="preserve"> </w:t>
            </w:r>
            <w:r w:rsidR="44CF65C3" w:rsidRPr="000B6313">
              <w:t xml:space="preserve">This </w:t>
            </w:r>
            <w:r w:rsidR="00565758" w:rsidRPr="000B6313">
              <w:t xml:space="preserve">approach </w:t>
            </w:r>
            <w:r w:rsidR="44CF65C3" w:rsidRPr="000B6313">
              <w:t xml:space="preserve">will </w:t>
            </w:r>
            <w:r w:rsidR="0042375F" w:rsidRPr="000B6313">
              <w:t>set clear</w:t>
            </w:r>
            <w:r w:rsidR="00565758" w:rsidRPr="000B6313">
              <w:t xml:space="preserve"> price expectations</w:t>
            </w:r>
            <w:r w:rsidR="0042375F" w:rsidRPr="000B6313">
              <w:t xml:space="preserve">, which </w:t>
            </w:r>
            <w:r w:rsidR="008D6B34" w:rsidRPr="000B6313">
              <w:t>will start to standardise pricing across the market.</w:t>
            </w:r>
            <w:r w:rsidR="473D05D4" w:rsidRPr="000B6313">
              <w:t xml:space="preserve"> </w:t>
            </w:r>
            <w:r w:rsidR="4802DDBD" w:rsidRPr="000B6313">
              <w:t>The</w:t>
            </w:r>
            <w:r w:rsidR="000E7CA5" w:rsidRPr="000B6313">
              <w:t xml:space="preserve"> service specifications </w:t>
            </w:r>
            <w:r w:rsidR="0093699A" w:rsidRPr="000B6313">
              <w:t xml:space="preserve">will </w:t>
            </w:r>
            <w:r w:rsidR="000E7CA5" w:rsidRPr="000B6313">
              <w:t>set out clear quality expectations and the</w:t>
            </w:r>
            <w:r w:rsidR="4802DDBD" w:rsidRPr="000B6313">
              <w:t xml:space="preserve"> tender process will </w:t>
            </w:r>
            <w:r w:rsidR="008D6B34" w:rsidRPr="000B6313">
              <w:t>include</w:t>
            </w:r>
            <w:r w:rsidR="4802DDBD" w:rsidRPr="000B6313">
              <w:t xml:space="preserve"> a quality evaluation with a minimum threshold</w:t>
            </w:r>
            <w:r w:rsidR="0042375F" w:rsidRPr="000B6313">
              <w:t xml:space="preserve">. </w:t>
            </w:r>
            <w:r w:rsidR="00D60C88" w:rsidRPr="000B6313">
              <w:t xml:space="preserve">Both DPV’s will be developed with extensive engagement with current and potential providers. </w:t>
            </w:r>
            <w:r w:rsidR="0042375F" w:rsidRPr="000B6313">
              <w:t>These factors, alongside effective contract management and oversight</w:t>
            </w:r>
            <w:r w:rsidR="000E7CA5" w:rsidRPr="000B6313">
              <w:t>,</w:t>
            </w:r>
            <w:r w:rsidR="0042375F" w:rsidRPr="000B6313">
              <w:t xml:space="preserve"> will help</w:t>
            </w:r>
            <w:r w:rsidR="4802DDBD" w:rsidRPr="000B6313">
              <w:t xml:space="preserve"> manage ongoing quality concerns</w:t>
            </w:r>
            <w:r w:rsidR="0042375F" w:rsidRPr="000B6313">
              <w:t>.</w:t>
            </w:r>
            <w:r w:rsidR="000E7CA5" w:rsidRPr="000B6313">
              <w:t xml:space="preserve"> The development of the </w:t>
            </w:r>
            <w:r w:rsidR="00F327B2" w:rsidRPr="000B6313">
              <w:t xml:space="preserve">dynamic purchasing vehicles will need to be accompanied by wider strands of work to support market development. </w:t>
            </w:r>
            <w:r w:rsidR="0042375F" w:rsidRPr="000B6313">
              <w:t xml:space="preserve"> </w:t>
            </w:r>
          </w:p>
          <w:p w14:paraId="21E2DAFB" w14:textId="16F79AA4" w:rsidR="00932BF9" w:rsidRPr="000B6313" w:rsidRDefault="00932BF9" w:rsidP="006F6376">
            <w:pPr>
              <w:spacing w:after="0" w:line="240" w:lineRule="auto"/>
            </w:pPr>
          </w:p>
          <w:p w14:paraId="0D095574" w14:textId="77777777" w:rsidR="00FF35B1" w:rsidRPr="000B6313" w:rsidRDefault="00A60B7A" w:rsidP="00F327B2">
            <w:pPr>
              <w:spacing w:after="0" w:line="240" w:lineRule="auto"/>
              <w:rPr>
                <w:color w:val="000000" w:themeColor="text1"/>
              </w:rPr>
            </w:pPr>
            <w:r w:rsidRPr="000B6313">
              <w:t>S</w:t>
            </w:r>
            <w:r w:rsidR="6AED43EF" w:rsidRPr="000B6313">
              <w:t xml:space="preserve">pecific </w:t>
            </w:r>
            <w:r w:rsidR="6AED43EF" w:rsidRPr="000B6313">
              <w:rPr>
                <w:color w:val="000000" w:themeColor="text1"/>
              </w:rPr>
              <w:t>action</w:t>
            </w:r>
            <w:r w:rsidRPr="000B6313">
              <w:rPr>
                <w:color w:val="000000" w:themeColor="text1"/>
              </w:rPr>
              <w:t xml:space="preserve"> is being undertaken to respond to the </w:t>
            </w:r>
            <w:r w:rsidR="4E923967" w:rsidRPr="000B6313">
              <w:rPr>
                <w:color w:val="000000" w:themeColor="text1"/>
              </w:rPr>
              <w:t>sector challenges identified.</w:t>
            </w:r>
          </w:p>
          <w:p w14:paraId="2F254706" w14:textId="77777777" w:rsidR="00D42ADD" w:rsidRPr="000B6313" w:rsidRDefault="00D42ADD" w:rsidP="00F327B2">
            <w:pPr>
              <w:spacing w:after="0" w:line="240" w:lineRule="auto"/>
              <w:rPr>
                <w:color w:val="000000" w:themeColor="text1"/>
              </w:rPr>
            </w:pPr>
          </w:p>
          <w:p w14:paraId="5CA07A36" w14:textId="3BDE40C9" w:rsidR="007A739A" w:rsidRPr="000B6313" w:rsidRDefault="383E1598" w:rsidP="002B22DB">
            <w:pPr>
              <w:pStyle w:val="ListParagraph"/>
              <w:numPr>
                <w:ilvl w:val="0"/>
                <w:numId w:val="3"/>
              </w:numPr>
              <w:spacing w:after="0"/>
            </w:pPr>
            <w:r w:rsidRPr="000B6313">
              <w:rPr>
                <w:color w:val="000000" w:themeColor="text1"/>
                <w:u w:val="single"/>
              </w:rPr>
              <w:t>Responding to increasing complexity and frailty</w:t>
            </w:r>
            <w:r w:rsidR="007A739A" w:rsidRPr="000B6313">
              <w:rPr>
                <w:color w:val="000000" w:themeColor="text1"/>
                <w:u w:val="single"/>
              </w:rPr>
              <w:t xml:space="preserve">: </w:t>
            </w:r>
            <w:r w:rsidR="00CA00C9" w:rsidRPr="000B6313">
              <w:t>Through the Integrated Care Partnership (the place level structure for the Integrated Care System) and integrated commissioning approaches, a system approach to complexity and frailty is being developed.</w:t>
            </w:r>
            <w:r w:rsidR="16B311DD" w:rsidRPr="000B6313">
              <w:t xml:space="preserve"> </w:t>
            </w:r>
            <w:r w:rsidR="004062A6" w:rsidRPr="000B6313">
              <w:t>For example, r</w:t>
            </w:r>
            <w:r w:rsidR="007A739A" w:rsidRPr="000B6313">
              <w:rPr>
                <w:rFonts w:eastAsia="Times New Roman"/>
                <w:color w:val="000000" w:themeColor="text1"/>
              </w:rPr>
              <w:t xml:space="preserve">ecognising </w:t>
            </w:r>
            <w:r w:rsidR="004062A6" w:rsidRPr="000B6313">
              <w:rPr>
                <w:rFonts w:eastAsia="Times New Roman"/>
                <w:color w:val="000000" w:themeColor="text1"/>
              </w:rPr>
              <w:t>the</w:t>
            </w:r>
            <w:r w:rsidR="007A739A" w:rsidRPr="000B6313">
              <w:rPr>
                <w:rFonts w:eastAsia="Times New Roman"/>
                <w:color w:val="000000" w:themeColor="text1"/>
              </w:rPr>
              <w:t xml:space="preserve"> perceived increase in complexity of presentation, Buckinghamshire Council mobilised a dementia transformation programme in quarter 1 of 2022/23 focussing on: </w:t>
            </w:r>
          </w:p>
          <w:p w14:paraId="137D3F6A" w14:textId="77777777" w:rsidR="007A739A" w:rsidRPr="000B6313" w:rsidRDefault="007A739A" w:rsidP="002B22DB">
            <w:pPr>
              <w:pStyle w:val="ListParagraph"/>
              <w:numPr>
                <w:ilvl w:val="1"/>
                <w:numId w:val="3"/>
              </w:numPr>
              <w:spacing w:after="0" w:line="245" w:lineRule="auto"/>
            </w:pPr>
            <w:r w:rsidRPr="000B6313">
              <w:rPr>
                <w:rFonts w:eastAsia="Times New Roman"/>
                <w:color w:val="000000" w:themeColor="text1"/>
              </w:rPr>
              <w:t>Availability of and access to information advice and guidance</w:t>
            </w:r>
          </w:p>
          <w:p w14:paraId="46F68F2A" w14:textId="77777777" w:rsidR="007A739A" w:rsidRPr="000B6313" w:rsidRDefault="007A739A" w:rsidP="002B22DB">
            <w:pPr>
              <w:pStyle w:val="ListParagraph"/>
              <w:numPr>
                <w:ilvl w:val="1"/>
                <w:numId w:val="3"/>
              </w:numPr>
              <w:spacing w:after="0" w:line="245" w:lineRule="auto"/>
            </w:pPr>
            <w:r w:rsidRPr="000B6313">
              <w:rPr>
                <w:rFonts w:eastAsia="Times New Roman"/>
                <w:color w:val="000000" w:themeColor="text1"/>
              </w:rPr>
              <w:t>Demand and capacity mapping of pre and post diagnostic support</w:t>
            </w:r>
          </w:p>
          <w:p w14:paraId="7BDF06EF" w14:textId="77777777" w:rsidR="007A739A" w:rsidRPr="000B6313" w:rsidRDefault="007A739A" w:rsidP="002B22DB">
            <w:pPr>
              <w:pStyle w:val="ListParagraph"/>
              <w:numPr>
                <w:ilvl w:val="1"/>
                <w:numId w:val="3"/>
              </w:numPr>
              <w:spacing w:after="0" w:line="245" w:lineRule="auto"/>
            </w:pPr>
            <w:r w:rsidRPr="000B6313">
              <w:rPr>
                <w:rFonts w:eastAsia="Times New Roman"/>
                <w:color w:val="000000" w:themeColor="text1"/>
              </w:rPr>
              <w:t xml:space="preserve">Benchmarking models of intensive support with a view to developing a local offer in conjunction with system partners that could support people with dementia at risk of admission to hospital or residential care </w:t>
            </w:r>
          </w:p>
          <w:p w14:paraId="361A065F" w14:textId="77777777" w:rsidR="007A739A" w:rsidRPr="000B6313" w:rsidRDefault="007A739A" w:rsidP="002B22DB">
            <w:pPr>
              <w:pStyle w:val="ListParagraph"/>
              <w:numPr>
                <w:ilvl w:val="1"/>
                <w:numId w:val="3"/>
              </w:numPr>
              <w:spacing w:after="0" w:line="245" w:lineRule="auto"/>
            </w:pPr>
            <w:r w:rsidRPr="000B6313">
              <w:rPr>
                <w:rFonts w:eastAsia="Times New Roman"/>
                <w:color w:val="000000" w:themeColor="text1"/>
              </w:rPr>
              <w:t>Securing additional investment from NHSE as part of a pilot to increase our dementia diagnostic rate.</w:t>
            </w:r>
          </w:p>
          <w:p w14:paraId="65FE88F9" w14:textId="77777777" w:rsidR="00552280" w:rsidRPr="000B6313" w:rsidRDefault="00552280" w:rsidP="00DE3A57">
            <w:pPr>
              <w:spacing w:after="0" w:line="240" w:lineRule="auto"/>
              <w:ind w:left="360"/>
            </w:pPr>
          </w:p>
          <w:p w14:paraId="0D3F285F" w14:textId="6CC7AF9B" w:rsidR="00651E52" w:rsidRPr="000B6313" w:rsidRDefault="16B311DD" w:rsidP="00DE3A57">
            <w:pPr>
              <w:spacing w:after="0" w:line="240" w:lineRule="auto"/>
              <w:ind w:left="360"/>
              <w:rPr>
                <w:color w:val="FF0000"/>
              </w:rPr>
            </w:pPr>
            <w:r w:rsidRPr="000B6313">
              <w:t>N</w:t>
            </w:r>
            <w:r w:rsidR="7C3E066F" w:rsidRPr="000B6313">
              <w:t>ew models of care with appropriate pricing</w:t>
            </w:r>
            <w:r w:rsidR="00E01EFD" w:rsidRPr="000B6313">
              <w:t xml:space="preserve">, </w:t>
            </w:r>
            <w:r w:rsidR="7C3E066F" w:rsidRPr="000B6313">
              <w:t>developed</w:t>
            </w:r>
            <w:r w:rsidR="2D50AAC7" w:rsidRPr="000B6313">
              <w:t xml:space="preserve"> and implemented through the dynamic purchasing vehicle</w:t>
            </w:r>
            <w:r w:rsidR="4EC4D092" w:rsidRPr="000B6313">
              <w:t>s</w:t>
            </w:r>
            <w:r w:rsidR="00E01EFD" w:rsidRPr="000B6313">
              <w:t xml:space="preserve"> will also assist with this</w:t>
            </w:r>
            <w:r w:rsidR="00071694" w:rsidRPr="000B6313">
              <w:t>.</w:t>
            </w:r>
            <w:r w:rsidR="2D50AAC7" w:rsidRPr="000B6313">
              <w:t xml:space="preserve"> </w:t>
            </w:r>
            <w:r w:rsidR="00EB2789" w:rsidRPr="000B6313">
              <w:t xml:space="preserve">Work is also underway to develop a model for </w:t>
            </w:r>
            <w:r w:rsidR="00BF151C" w:rsidRPr="000B6313">
              <w:t xml:space="preserve">intermediate care in Buckinghamshire, which will </w:t>
            </w:r>
            <w:r w:rsidR="000B0AFE" w:rsidRPr="000B6313">
              <w:t xml:space="preserve">integrate </w:t>
            </w:r>
            <w:r w:rsidR="005B1DD9" w:rsidRPr="000B6313">
              <w:t>home care services into a broader pathway for clients with the potential</w:t>
            </w:r>
            <w:r w:rsidR="00651E52" w:rsidRPr="000B6313">
              <w:t xml:space="preserve"> for reablement.</w:t>
            </w:r>
          </w:p>
          <w:p w14:paraId="51212744" w14:textId="77777777" w:rsidR="00651E52" w:rsidRPr="000B6313" w:rsidRDefault="00651E52" w:rsidP="00DE3A57">
            <w:pPr>
              <w:spacing w:after="0" w:line="240" w:lineRule="auto"/>
              <w:ind w:left="360"/>
            </w:pPr>
          </w:p>
          <w:p w14:paraId="3ACE3270" w14:textId="3AA23B00" w:rsidR="008B1262" w:rsidRPr="000B6313" w:rsidRDefault="00EF7E96" w:rsidP="00DE3A57">
            <w:pPr>
              <w:spacing w:after="0" w:line="240" w:lineRule="auto"/>
              <w:ind w:left="360"/>
            </w:pPr>
            <w:r w:rsidRPr="000B6313">
              <w:t xml:space="preserve">The market analysis work has identified how the demands on the care market will change and impact on the types of accommodation required to support individuals to stay as independent as possible. </w:t>
            </w:r>
            <w:r w:rsidR="00FD108A" w:rsidRPr="000B6313">
              <w:t xml:space="preserve">Work has already begun within the Council to develop a co-ordinated approach to </w:t>
            </w:r>
            <w:r w:rsidR="00BA43E0" w:rsidRPr="000B6313">
              <w:t xml:space="preserve">the development of accommodation across Adult Social Care, Commissioners, Housing, Planning and Property. </w:t>
            </w:r>
            <w:r w:rsidRPr="000B6313">
              <w:t xml:space="preserve">Work will </w:t>
            </w:r>
            <w:r w:rsidR="00BA43E0" w:rsidRPr="000B6313">
              <w:t xml:space="preserve">also </w:t>
            </w:r>
            <w:r w:rsidRPr="000B6313">
              <w:t>begin shortly on the production of a Market Position Statement which will include engagement with providers</w:t>
            </w:r>
            <w:r w:rsidR="00BA43E0" w:rsidRPr="000B6313">
              <w:t xml:space="preserve"> and developers</w:t>
            </w:r>
            <w:r w:rsidRPr="000B6313">
              <w:rPr>
                <w:color w:val="FF0000"/>
              </w:rPr>
              <w:t xml:space="preserve">.  </w:t>
            </w:r>
          </w:p>
          <w:p w14:paraId="71F1DF99" w14:textId="77777777" w:rsidR="00767D75" w:rsidRPr="000B6313" w:rsidRDefault="00767D75" w:rsidP="00DE3A57">
            <w:pPr>
              <w:spacing w:after="0" w:line="240" w:lineRule="auto"/>
              <w:ind w:left="360"/>
              <w:rPr>
                <w:color w:val="000000" w:themeColor="text1"/>
              </w:rPr>
            </w:pPr>
          </w:p>
          <w:p w14:paraId="4FE44054" w14:textId="26859E52" w:rsidR="007B18D2" w:rsidRPr="000B6313" w:rsidRDefault="383E1598" w:rsidP="002B22DB">
            <w:pPr>
              <w:pStyle w:val="ListParagraph"/>
              <w:numPr>
                <w:ilvl w:val="0"/>
                <w:numId w:val="3"/>
              </w:numPr>
              <w:spacing w:after="0" w:line="240" w:lineRule="auto"/>
              <w:rPr>
                <w:rFonts w:eastAsia="Arial"/>
              </w:rPr>
            </w:pPr>
            <w:r w:rsidRPr="000B6313">
              <w:rPr>
                <w:u w:val="single"/>
              </w:rPr>
              <w:t>Workforce challenges</w:t>
            </w:r>
            <w:r w:rsidR="00D66F0E" w:rsidRPr="000B6313">
              <w:rPr>
                <w:u w:val="single"/>
              </w:rPr>
              <w:t xml:space="preserve">: </w:t>
            </w:r>
            <w:r w:rsidR="5BD0880E" w:rsidRPr="000B6313">
              <w:t xml:space="preserve">National </w:t>
            </w:r>
            <w:r w:rsidR="00D66F0E" w:rsidRPr="000B6313">
              <w:t>interventions</w:t>
            </w:r>
            <w:r w:rsidR="007B18D2" w:rsidRPr="000B6313">
              <w:t xml:space="preserve"> to support t</w:t>
            </w:r>
            <w:r w:rsidR="4B9B4AB9" w:rsidRPr="000B6313">
              <w:t xml:space="preserve">he required capacity and skills for adult social care </w:t>
            </w:r>
            <w:r w:rsidR="21492774" w:rsidRPr="000B6313">
              <w:t xml:space="preserve">would be highly beneficial to local systems. Locally the Council is working in partnership with the NHS and the Health and Social Care Academy </w:t>
            </w:r>
            <w:r w:rsidR="7CFBDDF3" w:rsidRPr="000B6313">
              <w:t xml:space="preserve">to provide </w:t>
            </w:r>
            <w:r w:rsidR="116D0114" w:rsidRPr="000B6313">
              <w:t>access to training and other support</w:t>
            </w:r>
            <w:r w:rsidR="007B18D2" w:rsidRPr="000B6313">
              <w:t>. However, providers continue to highlight that easier access to workers from abroad would make the biggest difference to alleviating current recruitment difficulties.</w:t>
            </w:r>
            <w:r w:rsidR="007D60A8" w:rsidRPr="000B6313">
              <w:t xml:space="preserve"> This includes making recruitment from overseas easier and creating better career pathways for staff in the social care sector. </w:t>
            </w:r>
            <w:r w:rsidR="00A37E74" w:rsidRPr="000B6313">
              <w:t xml:space="preserve">Providers have </w:t>
            </w:r>
            <w:r w:rsidR="004A2819" w:rsidRPr="000B6313">
              <w:t xml:space="preserve">identified </w:t>
            </w:r>
            <w:r w:rsidR="007D60A8" w:rsidRPr="000B6313">
              <w:t>career pathways into associate nursing qualifications</w:t>
            </w:r>
            <w:r w:rsidR="004A2819" w:rsidRPr="000B6313">
              <w:t xml:space="preserve"> </w:t>
            </w:r>
            <w:proofErr w:type="gramStart"/>
            <w:r w:rsidR="004A2819" w:rsidRPr="000B6313">
              <w:t>as a way to</w:t>
            </w:r>
            <w:proofErr w:type="gramEnd"/>
            <w:r w:rsidR="004A2819" w:rsidRPr="000B6313">
              <w:t xml:space="preserve"> attract workers into the care sector, but also </w:t>
            </w:r>
            <w:r w:rsidR="004A2819" w:rsidRPr="000B6313">
              <w:lastRenderedPageBreak/>
              <w:t xml:space="preserve">report </w:t>
            </w:r>
            <w:r w:rsidR="007D60A8" w:rsidRPr="000B6313">
              <w:t>that currently the cost of supporting this for their current staff is not financially viable</w:t>
            </w:r>
          </w:p>
          <w:p w14:paraId="46F4399D" w14:textId="77777777" w:rsidR="007B18D2" w:rsidRPr="000B6313" w:rsidRDefault="007B18D2" w:rsidP="007B18D2">
            <w:pPr>
              <w:pStyle w:val="ListParagraph"/>
              <w:spacing w:after="0" w:line="240" w:lineRule="auto"/>
              <w:ind w:left="360"/>
              <w:rPr>
                <w:rFonts w:eastAsia="Arial"/>
              </w:rPr>
            </w:pPr>
          </w:p>
          <w:p w14:paraId="5B2D3C0C" w14:textId="6D23EBD2" w:rsidR="00276572" w:rsidRPr="000B6313" w:rsidRDefault="383E1598" w:rsidP="00375F9D">
            <w:pPr>
              <w:pStyle w:val="ListParagraph"/>
              <w:numPr>
                <w:ilvl w:val="0"/>
                <w:numId w:val="3"/>
              </w:numPr>
              <w:spacing w:after="0" w:line="240" w:lineRule="auto"/>
            </w:pPr>
            <w:r w:rsidRPr="000B6313">
              <w:rPr>
                <w:u w:val="single"/>
              </w:rPr>
              <w:t>Service quality issues</w:t>
            </w:r>
            <w:r w:rsidR="007B18D2" w:rsidRPr="000B6313">
              <w:rPr>
                <w:u w:val="single"/>
              </w:rPr>
              <w:t>:</w:t>
            </w:r>
            <w:r w:rsidR="007B18D2" w:rsidRPr="000B6313">
              <w:t xml:space="preserve"> </w:t>
            </w:r>
            <w:r w:rsidR="004E60B4" w:rsidRPr="000B6313">
              <w:t>Over the last two years the Integrated Commissioning Service has been developing and embedding a more consistent and robust approach to the quality oversight of commissioned care and support providers.</w:t>
            </w:r>
            <w:r w:rsidR="002B22DB" w:rsidRPr="000B6313">
              <w:t xml:space="preserve"> This has included the implementation of PAMMS as a consistent framework for monitoring care and support providers which is linked to the CQC quality domains</w:t>
            </w:r>
            <w:r w:rsidR="00A712C6" w:rsidRPr="000B6313">
              <w:t xml:space="preserve">. A Concerns and Suspensions Procedure is in place, underpinned </w:t>
            </w:r>
            <w:r w:rsidR="002B22DB" w:rsidRPr="000B6313">
              <w:t xml:space="preserve">by a system of dynamic risk ratings </w:t>
            </w:r>
            <w:r w:rsidR="00A712C6" w:rsidRPr="000B6313">
              <w:t>to support a</w:t>
            </w:r>
            <w:r w:rsidR="00FD213A" w:rsidRPr="000B6313">
              <w:t xml:space="preserve"> consistent approach to managing provider concerns. Moving forward, the focus on quality oversight will continue</w:t>
            </w:r>
            <w:r w:rsidR="00375F9D" w:rsidRPr="000B6313">
              <w:t>, with an emphasis on the Council working collaboratively with providers and wider system partners to support improvement.</w:t>
            </w:r>
            <w:r w:rsidR="00970C25" w:rsidRPr="000B6313">
              <w:t xml:space="preserve"> </w:t>
            </w:r>
            <w:r w:rsidR="749EC024" w:rsidRPr="000B6313">
              <w:t>This will enable the Council to maintain effective relationships with providers</w:t>
            </w:r>
            <w:r w:rsidR="00970C25" w:rsidRPr="000B6313">
              <w:t xml:space="preserve"> and support the </w:t>
            </w:r>
            <w:r w:rsidR="749EC024" w:rsidRPr="000B6313">
              <w:t>early identification of quality or financial sustainability concerns</w:t>
            </w:r>
            <w:r w:rsidR="00970C25" w:rsidRPr="000B6313">
              <w:t>.</w:t>
            </w:r>
          </w:p>
          <w:p w14:paraId="1BD85136" w14:textId="77777777" w:rsidR="009B7156" w:rsidRPr="000B6313" w:rsidRDefault="009B7156" w:rsidP="009B7156">
            <w:pPr>
              <w:spacing w:after="0" w:line="240" w:lineRule="auto"/>
            </w:pPr>
          </w:p>
          <w:p w14:paraId="512DE3A5" w14:textId="206E95E9" w:rsidR="009E5B3C" w:rsidRPr="000B6313" w:rsidRDefault="383E1598" w:rsidP="009E5B3C">
            <w:pPr>
              <w:pStyle w:val="ListParagraph"/>
              <w:numPr>
                <w:ilvl w:val="0"/>
                <w:numId w:val="3"/>
              </w:numPr>
              <w:spacing w:after="0" w:line="240" w:lineRule="auto"/>
            </w:pPr>
            <w:r w:rsidRPr="000B6313">
              <w:rPr>
                <w:u w:val="single"/>
              </w:rPr>
              <w:t>External economic factors</w:t>
            </w:r>
            <w:r w:rsidR="00970C25" w:rsidRPr="000B6313">
              <w:rPr>
                <w:u w:val="single"/>
              </w:rPr>
              <w:t>:</w:t>
            </w:r>
            <w:r w:rsidR="00970C25" w:rsidRPr="000B6313">
              <w:t xml:space="preserve"> </w:t>
            </w:r>
            <w:r w:rsidR="4F4EDA03" w:rsidRPr="000B6313">
              <w:t>An updated provider failure policy</w:t>
            </w:r>
            <w:r w:rsidR="00E61E67" w:rsidRPr="000B6313">
              <w:t xml:space="preserve"> is being drafted, which will support early identification </w:t>
            </w:r>
            <w:r w:rsidR="0043332F" w:rsidRPr="000B6313">
              <w:t>of risk and support a consistent approach to managing provider failure. Increased guidance is being prepared for commissioners around</w:t>
            </w:r>
            <w:r w:rsidR="00823861" w:rsidRPr="000B6313">
              <w:t xml:space="preserve"> </w:t>
            </w:r>
            <w:r w:rsidR="006C27E2" w:rsidRPr="000B6313">
              <w:t xml:space="preserve">financial checks and managing financial sustainability issues through contract management. </w:t>
            </w:r>
            <w:r w:rsidR="749EC024" w:rsidRPr="000B6313">
              <w:t xml:space="preserve">The annual fee uplift </w:t>
            </w:r>
            <w:r w:rsidR="1E9A170B" w:rsidRPr="000B6313">
              <w:t xml:space="preserve">takes account of the cost pressures in the sector, but also need to provide value for money for the Council. </w:t>
            </w:r>
            <w:r w:rsidR="18CA78E2" w:rsidRPr="000B6313">
              <w:t>The Council currently has a business case process for the assessment of providers with exception</w:t>
            </w:r>
            <w:r w:rsidR="24BC8A8B" w:rsidRPr="000B6313">
              <w:t>al</w:t>
            </w:r>
            <w:r w:rsidR="18CA78E2" w:rsidRPr="000B6313">
              <w:t xml:space="preserve"> </w:t>
            </w:r>
            <w:r w:rsidR="08F961CF" w:rsidRPr="000B6313">
              <w:t xml:space="preserve">cost pressures. </w:t>
            </w:r>
            <w:r w:rsidR="1E9A170B" w:rsidRPr="000B6313">
              <w:t xml:space="preserve">The Fair Cost of Care exercise </w:t>
            </w:r>
            <w:r w:rsidR="765EA1CF" w:rsidRPr="000B6313">
              <w:t>will inform future fee setting</w:t>
            </w:r>
            <w:r w:rsidR="00342274">
              <w:t xml:space="preserve"> and be one of </w:t>
            </w:r>
            <w:proofErr w:type="gramStart"/>
            <w:r w:rsidR="00342274">
              <w:t>a number o</w:t>
            </w:r>
            <w:r w:rsidR="14351AF1">
              <w:t>f</w:t>
            </w:r>
            <w:proofErr w:type="gramEnd"/>
            <w:r w:rsidR="00342274">
              <w:t xml:space="preserve"> factors to be considered. </w:t>
            </w:r>
            <w:proofErr w:type="gramStart"/>
            <w:r w:rsidR="00342274">
              <w:t>H</w:t>
            </w:r>
            <w:r w:rsidR="765EA1CF" w:rsidRPr="000B6313">
              <w:t>owever</w:t>
            </w:r>
            <w:proofErr w:type="gramEnd"/>
            <w:r w:rsidR="765EA1CF" w:rsidRPr="000B6313">
              <w:t xml:space="preserve"> progress</w:t>
            </w:r>
            <w:r w:rsidR="009E5B3C" w:rsidRPr="000B6313">
              <w:t xml:space="preserve"> over time</w:t>
            </w:r>
            <w:r w:rsidR="765EA1CF" w:rsidRPr="000B6313">
              <w:t xml:space="preserve"> towards a sustainable fee rate will be dependent on</w:t>
            </w:r>
            <w:r w:rsidR="0F231543" w:rsidRPr="000B6313">
              <w:t xml:space="preserve"> the level of the central grant. </w:t>
            </w:r>
          </w:p>
          <w:p w14:paraId="6F0B4236" w14:textId="77777777" w:rsidR="00A6511C" w:rsidRPr="000B6313" w:rsidRDefault="00A6511C" w:rsidP="00A6511C">
            <w:pPr>
              <w:pStyle w:val="ListParagraph"/>
            </w:pPr>
          </w:p>
          <w:p w14:paraId="2DC80F9A" w14:textId="747514EF" w:rsidR="00A6511C" w:rsidRPr="000B6313" w:rsidRDefault="00A6511C" w:rsidP="00A6511C">
            <w:pPr>
              <w:spacing w:after="0" w:line="240" w:lineRule="auto"/>
            </w:pPr>
            <w:r w:rsidRPr="000B6313">
              <w:t xml:space="preserve">Although not </w:t>
            </w:r>
            <w:r w:rsidR="00445F58" w:rsidRPr="000B6313">
              <w:t xml:space="preserve">identified within the core challenges, the Market Sustainability Plan needs to recognise the efforts and contribution of </w:t>
            </w:r>
            <w:r w:rsidR="00D67111" w:rsidRPr="000B6313">
              <w:t xml:space="preserve">informal carers. </w:t>
            </w:r>
            <w:r w:rsidR="008D2AF7" w:rsidRPr="000B6313">
              <w:t>Maximising the resilience and wellbeing of carers</w:t>
            </w:r>
            <w:r w:rsidR="005011B5" w:rsidRPr="000B6313">
              <w:t xml:space="preserve"> </w:t>
            </w:r>
            <w:r w:rsidR="00A21C6F" w:rsidRPr="000B6313">
              <w:t xml:space="preserve">provides significant capacity </w:t>
            </w:r>
            <w:r w:rsidR="0047537B" w:rsidRPr="000B6313">
              <w:t xml:space="preserve">for meeting social care needs. The Council is currently developing a carers co-production project </w:t>
            </w:r>
            <w:r w:rsidR="00AE61BF" w:rsidRPr="000B6313">
              <w:t>to work with carers to develop better approaches to support.</w:t>
            </w:r>
          </w:p>
          <w:p w14:paraId="27672213" w14:textId="77777777" w:rsidR="001F78B3" w:rsidRPr="000B6313" w:rsidRDefault="001F78B3" w:rsidP="00A6511C">
            <w:pPr>
              <w:spacing w:after="0" w:line="240" w:lineRule="auto"/>
            </w:pPr>
          </w:p>
          <w:p w14:paraId="3BEE38D0" w14:textId="3BF287B7" w:rsidR="008B1262" w:rsidRPr="000B6313" w:rsidRDefault="001F78B3" w:rsidP="572B04B1">
            <w:pPr>
              <w:spacing w:after="0" w:line="240" w:lineRule="auto"/>
            </w:pPr>
            <w:r w:rsidRPr="000B6313">
              <w:t xml:space="preserve">Although the focus of the market sustainability plan is </w:t>
            </w:r>
            <w:r w:rsidR="008B0021" w:rsidRPr="000B6313">
              <w:t>65+ care homes and 18+ home care,</w:t>
            </w:r>
            <w:r w:rsidR="00BB6016" w:rsidRPr="000B6313">
              <w:t xml:space="preserve"> </w:t>
            </w:r>
            <w:r w:rsidR="008D6493" w:rsidRPr="000B6313">
              <w:t xml:space="preserve">it is important to consider these sectors in the wider context of other adult social care provision, particularly supported living and working age residential care. </w:t>
            </w:r>
            <w:r w:rsidR="00C751EC" w:rsidRPr="000B6313">
              <w:t xml:space="preserve">These sectors may be competing for the same care staff and </w:t>
            </w:r>
            <w:r w:rsidR="00D96DC6" w:rsidRPr="000B6313">
              <w:t xml:space="preserve">financial resources. </w:t>
            </w:r>
            <w:r w:rsidR="00985AC7" w:rsidRPr="000B6313">
              <w:t>Th</w:t>
            </w:r>
            <w:r w:rsidR="000E26CA" w:rsidRPr="000B6313">
              <w:t xml:space="preserve">ey share </w:t>
            </w:r>
            <w:proofErr w:type="gramStart"/>
            <w:r w:rsidR="000E26CA" w:rsidRPr="000B6313">
              <w:t>a number of</w:t>
            </w:r>
            <w:proofErr w:type="gramEnd"/>
            <w:r w:rsidR="000E26CA" w:rsidRPr="000B6313">
              <w:t xml:space="preserve"> challenges. Mental health and learning disability clients</w:t>
            </w:r>
            <w:r w:rsidR="00FD5B7B" w:rsidRPr="000B6313">
              <w:t xml:space="preserve"> in the community</w:t>
            </w:r>
            <w:r w:rsidR="000E26CA" w:rsidRPr="000B6313">
              <w:t xml:space="preserve"> are becoming more complex </w:t>
            </w:r>
            <w:r w:rsidR="0070656B" w:rsidRPr="000B6313">
              <w:t xml:space="preserve">and it is increasingly difficult to place some of these clients. </w:t>
            </w:r>
            <w:r w:rsidR="00803AE2" w:rsidRPr="000B6313">
              <w:t>Costs for these client groups are increasing</w:t>
            </w:r>
            <w:r w:rsidR="00CD0812" w:rsidRPr="000B6313">
              <w:t xml:space="preserve">. In </w:t>
            </w:r>
            <w:proofErr w:type="gramStart"/>
            <w:r w:rsidR="00CD0812" w:rsidRPr="000B6313">
              <w:t>addition</w:t>
            </w:r>
            <w:proofErr w:type="gramEnd"/>
            <w:r w:rsidR="00CD0812" w:rsidRPr="000B6313">
              <w:t xml:space="preserve"> because </w:t>
            </w:r>
            <w:r w:rsidR="00595103" w:rsidRPr="000B6313">
              <w:t xml:space="preserve">these clients tend to require care for many years, low </w:t>
            </w:r>
            <w:r w:rsidR="00074546" w:rsidRPr="000B6313">
              <w:t>historic fee uplifts can still be impacting even if more recent fee uplifts have been set to address current challenges.</w:t>
            </w:r>
            <w:r w:rsidR="00595103" w:rsidRPr="000B6313">
              <w:t xml:space="preserve"> </w:t>
            </w:r>
          </w:p>
          <w:p w14:paraId="0B9F0FFB" w14:textId="5D7F944F" w:rsidR="001D49D3" w:rsidRPr="000B6313" w:rsidRDefault="001D49D3" w:rsidP="009B7156">
            <w:pPr>
              <w:spacing w:after="0" w:line="240" w:lineRule="auto"/>
            </w:pPr>
          </w:p>
        </w:tc>
      </w:tr>
      <w:tr w:rsidR="005D24CB" w:rsidRPr="000B6313" w14:paraId="0B9F0FFE"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0FFD" w14:textId="77777777" w:rsidR="005D24CB" w:rsidRPr="000B6313" w:rsidRDefault="000B27B8">
            <w:pPr>
              <w:pStyle w:val="ListParagraph"/>
              <w:numPr>
                <w:ilvl w:val="0"/>
                <w:numId w:val="7"/>
              </w:numPr>
              <w:spacing w:after="0" w:line="240" w:lineRule="auto"/>
              <w:rPr>
                <w:b/>
                <w:bCs/>
              </w:rPr>
            </w:pPr>
            <w:r w:rsidRPr="000B6313">
              <w:rPr>
                <w:b/>
                <w:bCs/>
              </w:rPr>
              <w:lastRenderedPageBreak/>
              <w:t xml:space="preserve">65+ care homes market </w:t>
            </w:r>
          </w:p>
        </w:tc>
      </w:tr>
      <w:tr w:rsidR="005D24CB" w:rsidRPr="000B6313" w14:paraId="0B9F1005"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6178D" w14:textId="4D79C0C5" w:rsidR="00381FA9" w:rsidRPr="00FE2569" w:rsidRDefault="00EF4C62" w:rsidP="00036E3C">
            <w:pPr>
              <w:numPr>
                <w:ilvl w:val="0"/>
                <w:numId w:val="20"/>
              </w:numPr>
              <w:spacing w:after="0" w:line="240" w:lineRule="auto"/>
              <w:rPr>
                <w:color w:val="000000"/>
              </w:rPr>
            </w:pPr>
            <w:r w:rsidRPr="000B6313">
              <w:t>In line with the Fair Cost of Care grant conditions, the Council completed fair cost of care exercise</w:t>
            </w:r>
            <w:r w:rsidR="001F78B3" w:rsidRPr="000B6313">
              <w:t xml:space="preserve"> for 65+ care homes</w:t>
            </w:r>
            <w:r w:rsidRPr="000B6313">
              <w:t xml:space="preserve">. </w:t>
            </w:r>
            <w:r w:rsidR="00381FA9" w:rsidRPr="000B6313">
              <w:t xml:space="preserve">44% of care homes responded. The outcomes of this exercise is provided in </w:t>
            </w:r>
            <w:r w:rsidR="00342274">
              <w:t xml:space="preserve">Table </w:t>
            </w:r>
            <w:proofErr w:type="gramStart"/>
            <w:r w:rsidR="00342274">
              <w:t xml:space="preserve">6 </w:t>
            </w:r>
            <w:r w:rsidR="00381FA9" w:rsidRPr="000B6313">
              <w:t xml:space="preserve"> below</w:t>
            </w:r>
            <w:proofErr w:type="gramEnd"/>
            <w:r w:rsidR="00381FA9" w:rsidRPr="000B6313">
              <w:t>.</w:t>
            </w:r>
            <w:r w:rsidR="004817F8" w:rsidRPr="000B6313">
              <w:t xml:space="preserve"> </w:t>
            </w:r>
            <w:r w:rsidR="00F23CCE" w:rsidRPr="00FE2569">
              <w:rPr>
                <w:b/>
                <w:bCs/>
                <w:i/>
                <w:iCs/>
                <w:color w:val="FF0000"/>
              </w:rPr>
              <w:t xml:space="preserve"> </w:t>
            </w:r>
            <w:r w:rsidR="00F23CCE" w:rsidRPr="00FE2569">
              <w:rPr>
                <w:color w:val="000000" w:themeColor="text1"/>
              </w:rPr>
              <w:t xml:space="preserve">As part of the process local authorities were able to moderate the median outcome where there was a </w:t>
            </w:r>
            <w:r w:rsidR="00F23CCE" w:rsidRPr="00FE2569">
              <w:rPr>
                <w:color w:val="000000" w:themeColor="text1"/>
              </w:rPr>
              <w:lastRenderedPageBreak/>
              <w:t xml:space="preserve">clear rationale. Moderations were applied to the Care Homes FCOC outcomes where </w:t>
            </w:r>
            <w:r w:rsidR="0005299B" w:rsidRPr="00FE2569">
              <w:rPr>
                <w:color w:val="000000" w:themeColor="text1"/>
              </w:rPr>
              <w:t xml:space="preserve">providers had applied inconsistent approaches to inflation, return on capital and return on operations. This generated an adjusted FCOC price, which is also provided in Table 6. </w:t>
            </w:r>
          </w:p>
          <w:p w14:paraId="3839711D" w14:textId="6AEA308D" w:rsidR="00E02D2A" w:rsidRDefault="00E02D2A" w:rsidP="00E02D2A">
            <w:pPr>
              <w:suppressAutoHyphens w:val="0"/>
              <w:autoSpaceDN/>
              <w:spacing w:after="0" w:line="240" w:lineRule="auto"/>
              <w:textAlignment w:val="auto"/>
              <w:rPr>
                <w:rFonts w:eastAsia="Times New Roman"/>
                <w:lang w:eastAsia="en-GB"/>
              </w:rPr>
            </w:pPr>
            <w:r w:rsidRPr="00E02D2A">
              <w:rPr>
                <w:rFonts w:eastAsia="Times New Roman"/>
                <w:lang w:eastAsia="en-GB"/>
              </w:rPr>
              <w:t> </w:t>
            </w:r>
          </w:p>
          <w:p w14:paraId="71F1E38B" w14:textId="68D256DA" w:rsidR="00D766C2" w:rsidRPr="00B7188C" w:rsidRDefault="00570104" w:rsidP="00E02D2A">
            <w:pPr>
              <w:suppressAutoHyphens w:val="0"/>
              <w:autoSpaceDN/>
              <w:spacing w:after="0" w:line="240" w:lineRule="auto"/>
              <w:textAlignment w:val="auto"/>
              <w:rPr>
                <w:rFonts w:eastAsia="Times New Roman"/>
                <w:b/>
                <w:bCs/>
                <w:lang w:eastAsia="en-GB"/>
              </w:rPr>
            </w:pPr>
            <w:r w:rsidRPr="00B7188C">
              <w:rPr>
                <w:rFonts w:eastAsia="Times New Roman"/>
                <w:b/>
                <w:bCs/>
                <w:lang w:eastAsia="en-GB"/>
              </w:rPr>
              <w:t xml:space="preserve">Table 6 - </w:t>
            </w:r>
            <w:r w:rsidR="00D766C2" w:rsidRPr="00B7188C">
              <w:rPr>
                <w:rFonts w:eastAsia="Times New Roman"/>
                <w:b/>
                <w:bCs/>
                <w:lang w:eastAsia="en-GB"/>
              </w:rPr>
              <w:t xml:space="preserve">Buckinghamshire </w:t>
            </w:r>
            <w:r w:rsidRPr="00B7188C">
              <w:rPr>
                <w:rFonts w:eastAsia="Times New Roman"/>
                <w:b/>
                <w:bCs/>
                <w:lang w:eastAsia="en-GB"/>
              </w:rPr>
              <w:t>Fair Cost of Care Outcomes</w:t>
            </w:r>
          </w:p>
          <w:p w14:paraId="69E7F9CE" w14:textId="77777777" w:rsidR="00CC2A61" w:rsidRPr="00E02D2A" w:rsidRDefault="00CC2A61" w:rsidP="00E02D2A">
            <w:pPr>
              <w:suppressAutoHyphens w:val="0"/>
              <w:autoSpaceDN/>
              <w:spacing w:after="0" w:line="240" w:lineRule="auto"/>
              <w:textAlignment w:val="auto"/>
              <w:rPr>
                <w:rFonts w:eastAsia="Times New Roman"/>
                <w:lang w:eastAsia="en-GB"/>
              </w:rPr>
            </w:pP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4"/>
              <w:gridCol w:w="1467"/>
              <w:gridCol w:w="1439"/>
              <w:gridCol w:w="1461"/>
              <w:gridCol w:w="1884"/>
            </w:tblGrid>
            <w:tr w:rsidR="00E02D2A" w:rsidRPr="00E02D2A" w14:paraId="7E76AABC" w14:textId="77777777" w:rsidTr="620AEF12">
              <w:trPr>
                <w:trHeight w:val="523"/>
              </w:trPr>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B52E5E"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 per resident per week</w:t>
                  </w:r>
                  <w:r w:rsidRPr="00E02D2A">
                    <w:rPr>
                      <w:rFonts w:eastAsia="Times New Roman"/>
                      <w:color w:val="000000"/>
                      <w:lang w:eastAsia="en-GB"/>
                    </w:rPr>
                    <w: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C094E7"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Lower Quartile</w:t>
                  </w:r>
                  <w:r w:rsidRPr="00E02D2A">
                    <w:rPr>
                      <w:rFonts w:eastAsia="Times New Roman"/>
                      <w:color w:val="000000"/>
                      <w:lang w:eastAsia="en-GB"/>
                    </w:rPr>
                    <w:t>​</w:t>
                  </w:r>
                </w:p>
                <w:p w14:paraId="121D4A12"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 </w:t>
                  </w:r>
                  <w:r w:rsidRPr="00E02D2A">
                    <w:rPr>
                      <w:rFonts w:eastAsia="Times New Roman"/>
                      <w:color w:val="000000"/>
                      <w:lang w:eastAsia="en-GB"/>
                    </w:rPr>
                    <w:t>​</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AF5A73"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Median</w:t>
                  </w:r>
                  <w:r w:rsidRPr="00E02D2A">
                    <w:rPr>
                      <w:rFonts w:eastAsia="Times New Roman"/>
                      <w:color w:val="000000"/>
                      <w:lang w:eastAsia="en-GB"/>
                    </w:rPr>
                    <w:t>​</w:t>
                  </w:r>
                </w:p>
                <w:p w14:paraId="4A2DB34F"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 </w:t>
                  </w:r>
                  <w:r w:rsidRPr="00E02D2A">
                    <w:rPr>
                      <w:rFonts w:eastAsia="Times New Roman"/>
                      <w:color w:val="000000"/>
                      <w:lang w:eastAsia="en-GB"/>
                    </w:rPr>
                    <w:t>​</w:t>
                  </w: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4CD1E"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Upper Quartile</w:t>
                  </w:r>
                  <w:r w:rsidRPr="00E02D2A">
                    <w:rPr>
                      <w:rFonts w:eastAsia="Times New Roman"/>
                      <w:color w:val="000000"/>
                      <w:lang w:eastAsia="en-GB"/>
                    </w:rPr>
                    <w:t>​</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7DD590" w14:textId="4049F304" w:rsidR="00E02D2A" w:rsidRPr="00E02D2A" w:rsidRDefault="002B1A93" w:rsidP="00E02D2A">
                  <w:pPr>
                    <w:suppressAutoHyphens w:val="0"/>
                    <w:autoSpaceDN/>
                    <w:spacing w:before="100" w:beforeAutospacing="1" w:after="100" w:afterAutospacing="1" w:line="240" w:lineRule="auto"/>
                    <w:rPr>
                      <w:rFonts w:eastAsia="Times New Roman"/>
                      <w:color w:val="000000"/>
                      <w:lang w:eastAsia="en-GB"/>
                    </w:rPr>
                  </w:pPr>
                  <w:r>
                    <w:rPr>
                      <w:rFonts w:eastAsia="Times New Roman"/>
                      <w:b/>
                      <w:bCs/>
                      <w:color w:val="000000"/>
                      <w:lang w:eastAsia="en-GB"/>
                    </w:rPr>
                    <w:t>Adjusted</w:t>
                  </w:r>
                  <w:r w:rsidR="00E02D2A" w:rsidRPr="00E02D2A">
                    <w:rPr>
                      <w:rFonts w:eastAsia="Times New Roman"/>
                      <w:b/>
                      <w:bCs/>
                      <w:color w:val="000000"/>
                      <w:lang w:eastAsia="en-GB"/>
                    </w:rPr>
                    <w:t xml:space="preserve"> FCOC</w:t>
                  </w:r>
                  <w:r w:rsidR="00E02D2A" w:rsidRPr="00E02D2A">
                    <w:rPr>
                      <w:rFonts w:eastAsia="Times New Roman"/>
                      <w:color w:val="000000"/>
                      <w:lang w:eastAsia="en-GB"/>
                    </w:rPr>
                    <w:t>​</w:t>
                  </w:r>
                </w:p>
              </w:tc>
            </w:tr>
            <w:tr w:rsidR="00E02D2A" w:rsidRPr="00E02D2A" w14:paraId="179E07DD" w14:textId="77777777" w:rsidTr="620AEF12">
              <w:trPr>
                <w:trHeight w:val="630"/>
              </w:trPr>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80DBB2"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Care Homes without Nursing</w:t>
                  </w:r>
                  <w:r w:rsidRPr="00E02D2A">
                    <w:rPr>
                      <w:rFonts w:eastAsia="Times New Roman"/>
                      <w:color w:val="000000"/>
                      <w:lang w:eastAsia="en-GB"/>
                    </w:rPr>
                    <w: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78F6A2" w14:textId="5F354B89" w:rsidR="00FA7AFF"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620AEF12">
                    <w:rPr>
                      <w:rFonts w:eastAsia="Times New Roman"/>
                      <w:b/>
                      <w:color w:val="000000" w:themeColor="text1"/>
                      <w:lang w:eastAsia="en-GB"/>
                    </w:rPr>
                    <w:t>£993.42</w:t>
                  </w:r>
                  <w:r w:rsidRPr="620AEF12">
                    <w:rPr>
                      <w:rFonts w:eastAsia="Times New Roman"/>
                      <w:color w:val="000000" w:themeColor="text1"/>
                      <w:lang w:eastAsia="en-GB"/>
                    </w:rPr>
                    <w:t>​</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9A7CD1"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£1,343.71</w:t>
                  </w:r>
                  <w:r w:rsidRPr="00E02D2A">
                    <w:rPr>
                      <w:rFonts w:eastAsia="Times New Roman"/>
                      <w:color w:val="000000"/>
                      <w:lang w:eastAsia="en-GB"/>
                    </w:rPr>
                    <w:t>​</w:t>
                  </w: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C0B6B3"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£1,888.93</w:t>
                  </w:r>
                  <w:r w:rsidRPr="00E02D2A">
                    <w:rPr>
                      <w:rFonts w:eastAsia="Times New Roman"/>
                      <w:color w:val="000000"/>
                      <w:lang w:eastAsia="en-GB"/>
                    </w:rPr>
                    <w:t>​</w:t>
                  </w:r>
                </w:p>
                <w:p w14:paraId="37B34135" w14:textId="745B9517" w:rsidR="00D14E4D" w:rsidRPr="00E02D2A" w:rsidRDefault="00D14E4D" w:rsidP="00E02D2A">
                  <w:pPr>
                    <w:suppressAutoHyphens w:val="0"/>
                    <w:autoSpaceDN/>
                    <w:spacing w:before="100" w:beforeAutospacing="1" w:after="100" w:afterAutospacing="1" w:line="240" w:lineRule="auto"/>
                    <w:rPr>
                      <w:rFonts w:eastAsia="Times New Roman"/>
                      <w:color w:val="000000"/>
                      <w:lang w:eastAsia="en-GB"/>
                    </w:rPr>
                  </w:pP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D95BA7"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£1,189.75</w:t>
                  </w:r>
                  <w:r w:rsidRPr="00E02D2A">
                    <w:rPr>
                      <w:rFonts w:eastAsia="Times New Roman"/>
                      <w:color w:val="000000"/>
                      <w:lang w:eastAsia="en-GB"/>
                    </w:rPr>
                    <w:t>​</w:t>
                  </w:r>
                </w:p>
              </w:tc>
            </w:tr>
            <w:tr w:rsidR="00E02D2A" w:rsidRPr="00E02D2A" w14:paraId="14BAFE24" w14:textId="77777777" w:rsidTr="620AEF12">
              <w:trPr>
                <w:trHeight w:val="630"/>
              </w:trPr>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A055DF"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val="en-US" w:eastAsia="en-GB"/>
                    </w:rPr>
                  </w:pPr>
                  <w:r w:rsidRPr="00E02D2A">
                    <w:rPr>
                      <w:rFonts w:eastAsia="Times New Roman"/>
                      <w:b/>
                      <w:bCs/>
                      <w:color w:val="000000"/>
                      <w:lang w:eastAsia="en-GB"/>
                    </w:rPr>
                    <w:t>Care Homes without Nursing with Enhanced Needs</w:t>
                  </w:r>
                  <w:r w:rsidRPr="00E02D2A">
                    <w:rPr>
                      <w:rFonts w:eastAsia="Times New Roman"/>
                      <w:color w:val="000000"/>
                      <w:lang w:val="en-US" w:eastAsia="en-GB"/>
                    </w:rPr>
                    <w: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AD625B"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£944.64</w:t>
                  </w:r>
                  <w:r w:rsidRPr="00E02D2A">
                    <w:rPr>
                      <w:rFonts w:eastAsia="Times New Roman"/>
                      <w:color w:val="000000"/>
                      <w:lang w:eastAsia="en-GB"/>
                    </w:rPr>
                    <w:t>​</w:t>
                  </w:r>
                </w:p>
                <w:p w14:paraId="360B0269" w14:textId="1552DE29" w:rsidR="00D14E4D" w:rsidRPr="00E02D2A" w:rsidRDefault="00D14E4D" w:rsidP="00E02D2A">
                  <w:pPr>
                    <w:suppressAutoHyphens w:val="0"/>
                    <w:autoSpaceDN/>
                    <w:spacing w:before="100" w:beforeAutospacing="1" w:after="100" w:afterAutospacing="1" w:line="240" w:lineRule="auto"/>
                    <w:rPr>
                      <w:rFonts w:eastAsia="Times New Roman"/>
                      <w:color w:val="000000"/>
                      <w:lang w:eastAsia="en-GB"/>
                    </w:rPr>
                  </w:pP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684B09"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£1,316.52</w:t>
                  </w:r>
                  <w:r w:rsidRPr="00E02D2A">
                    <w:rPr>
                      <w:rFonts w:eastAsia="Times New Roman"/>
                      <w:color w:val="000000"/>
                      <w:lang w:eastAsia="en-GB"/>
                    </w:rPr>
                    <w:t>​</w:t>
                  </w: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61C525"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£1,803.93</w:t>
                  </w:r>
                  <w:r w:rsidRPr="00E02D2A">
                    <w:rPr>
                      <w:rFonts w:eastAsia="Times New Roman"/>
                      <w:color w:val="000000"/>
                      <w:lang w:eastAsia="en-GB"/>
                    </w:rPr>
                    <w:t>​</w:t>
                  </w:r>
                </w:p>
                <w:p w14:paraId="3F1390C1" w14:textId="7CBF361F" w:rsidR="000E1A0D" w:rsidRPr="00E02D2A" w:rsidRDefault="000E1A0D" w:rsidP="00E02D2A">
                  <w:pPr>
                    <w:suppressAutoHyphens w:val="0"/>
                    <w:autoSpaceDN/>
                    <w:spacing w:before="100" w:beforeAutospacing="1" w:after="100" w:afterAutospacing="1" w:line="240" w:lineRule="auto"/>
                    <w:rPr>
                      <w:rFonts w:eastAsia="Times New Roman"/>
                      <w:color w:val="000000"/>
                      <w:lang w:eastAsia="en-GB"/>
                    </w:rPr>
                  </w:pP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518F2"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£1,146.38</w:t>
                  </w:r>
                  <w:r w:rsidRPr="00E02D2A">
                    <w:rPr>
                      <w:rFonts w:eastAsia="Times New Roman"/>
                      <w:color w:val="000000"/>
                      <w:lang w:eastAsia="en-GB"/>
                    </w:rPr>
                    <w:t>​</w:t>
                  </w:r>
                </w:p>
              </w:tc>
            </w:tr>
            <w:tr w:rsidR="00E02D2A" w:rsidRPr="00E02D2A" w14:paraId="7CC73B0C" w14:textId="77777777" w:rsidTr="620AEF12">
              <w:trPr>
                <w:trHeight w:val="630"/>
              </w:trPr>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B4793A"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val="en-US" w:eastAsia="en-GB"/>
                    </w:rPr>
                  </w:pPr>
                  <w:r w:rsidRPr="00E02D2A">
                    <w:rPr>
                      <w:rFonts w:eastAsia="Times New Roman"/>
                      <w:b/>
                      <w:bCs/>
                      <w:color w:val="000000"/>
                      <w:lang w:eastAsia="en-GB"/>
                    </w:rPr>
                    <w:t>Care Homes with Nursing</w:t>
                  </w:r>
                  <w:r w:rsidRPr="00E02D2A">
                    <w:rPr>
                      <w:rFonts w:eastAsia="Times New Roman"/>
                      <w:color w:val="000000"/>
                      <w:lang w:val="en-US" w:eastAsia="en-GB"/>
                    </w:rPr>
                    <w: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80120D"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£1,167.57</w:t>
                  </w:r>
                  <w:r w:rsidRPr="00E02D2A">
                    <w:rPr>
                      <w:rFonts w:eastAsia="Times New Roman"/>
                      <w:color w:val="000000"/>
                      <w:lang w:eastAsia="en-GB"/>
                    </w:rPr>
                    <w:t>​</w:t>
                  </w:r>
                </w:p>
                <w:p w14:paraId="7A9B9137" w14:textId="3A7239B4" w:rsidR="000E1A0D" w:rsidRPr="00E02D2A" w:rsidRDefault="000E1A0D" w:rsidP="00E02D2A">
                  <w:pPr>
                    <w:suppressAutoHyphens w:val="0"/>
                    <w:autoSpaceDN/>
                    <w:spacing w:before="100" w:beforeAutospacing="1" w:after="100" w:afterAutospacing="1" w:line="240" w:lineRule="auto"/>
                    <w:rPr>
                      <w:rFonts w:eastAsia="Times New Roman"/>
                      <w:color w:val="000000"/>
                      <w:lang w:eastAsia="en-GB"/>
                    </w:rPr>
                  </w:pP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3DC5DE"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£1,479.26</w:t>
                  </w:r>
                  <w:r w:rsidRPr="00E02D2A">
                    <w:rPr>
                      <w:rFonts w:eastAsia="Times New Roman"/>
                      <w:color w:val="000000"/>
                      <w:lang w:eastAsia="en-GB"/>
                    </w:rPr>
                    <w:t>​</w:t>
                  </w:r>
                </w:p>
                <w:p w14:paraId="3D1EE171" w14:textId="3E314C02" w:rsidR="000E1A0D" w:rsidRPr="00E02D2A" w:rsidRDefault="000E1A0D" w:rsidP="00E02D2A">
                  <w:pPr>
                    <w:suppressAutoHyphens w:val="0"/>
                    <w:autoSpaceDN/>
                    <w:spacing w:before="100" w:beforeAutospacing="1" w:after="100" w:afterAutospacing="1" w:line="240" w:lineRule="auto"/>
                    <w:rPr>
                      <w:rFonts w:eastAsia="Times New Roman"/>
                      <w:color w:val="000000"/>
                      <w:lang w:eastAsia="en-GB"/>
                    </w:rPr>
                  </w:pP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00C35F"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£2,202.62</w:t>
                  </w:r>
                  <w:r w:rsidRPr="00E02D2A">
                    <w:rPr>
                      <w:rFonts w:eastAsia="Times New Roman"/>
                      <w:color w:val="000000"/>
                      <w:lang w:eastAsia="en-GB"/>
                    </w:rPr>
                    <w:t>​</w:t>
                  </w:r>
                </w:p>
                <w:p w14:paraId="64BB8CA2" w14:textId="36E2A555" w:rsidR="00A540B2" w:rsidRPr="00E02D2A" w:rsidRDefault="00A540B2" w:rsidP="00E02D2A">
                  <w:pPr>
                    <w:suppressAutoHyphens w:val="0"/>
                    <w:autoSpaceDN/>
                    <w:spacing w:before="100" w:beforeAutospacing="1" w:after="100" w:afterAutospacing="1" w:line="240" w:lineRule="auto"/>
                    <w:rPr>
                      <w:rFonts w:eastAsia="Times New Roman"/>
                      <w:color w:val="000000"/>
                      <w:lang w:eastAsia="en-GB"/>
                    </w:rPr>
                  </w:pP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0F01DD"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£1,498.43</w:t>
                  </w:r>
                  <w:r w:rsidRPr="00E02D2A">
                    <w:rPr>
                      <w:rFonts w:eastAsia="Times New Roman"/>
                      <w:color w:val="000000"/>
                      <w:lang w:eastAsia="en-GB"/>
                    </w:rPr>
                    <w:t>​</w:t>
                  </w:r>
                </w:p>
              </w:tc>
            </w:tr>
            <w:tr w:rsidR="00E02D2A" w:rsidRPr="00E02D2A" w14:paraId="0591CDCC" w14:textId="77777777" w:rsidTr="620AEF12">
              <w:trPr>
                <w:trHeight w:val="630"/>
              </w:trPr>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312B4E"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val="en-US" w:eastAsia="en-GB"/>
                    </w:rPr>
                  </w:pPr>
                  <w:r w:rsidRPr="00E02D2A">
                    <w:rPr>
                      <w:rFonts w:eastAsia="Times New Roman"/>
                      <w:b/>
                      <w:bCs/>
                      <w:color w:val="000000"/>
                      <w:lang w:eastAsia="en-GB"/>
                    </w:rPr>
                    <w:t>Care Homes with Nursing with Enhanced Needs</w:t>
                  </w:r>
                  <w:r w:rsidRPr="00E02D2A">
                    <w:rPr>
                      <w:rFonts w:eastAsia="Times New Roman"/>
                      <w:color w:val="000000"/>
                      <w:lang w:val="en-US" w:eastAsia="en-GB"/>
                    </w:rPr>
                    <w:t>​</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589D76"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£1,145.03</w:t>
                  </w:r>
                  <w:r w:rsidRPr="00E02D2A">
                    <w:rPr>
                      <w:rFonts w:eastAsia="Times New Roman"/>
                      <w:color w:val="000000"/>
                      <w:lang w:eastAsia="en-GB"/>
                    </w:rPr>
                    <w:t>​</w:t>
                  </w:r>
                </w:p>
                <w:p w14:paraId="33571133" w14:textId="5BD7E65A" w:rsidR="000E1A0D" w:rsidRPr="00E02D2A" w:rsidRDefault="000E1A0D" w:rsidP="00E02D2A">
                  <w:pPr>
                    <w:suppressAutoHyphens w:val="0"/>
                    <w:autoSpaceDN/>
                    <w:spacing w:before="100" w:beforeAutospacing="1" w:after="100" w:afterAutospacing="1" w:line="240" w:lineRule="auto"/>
                    <w:rPr>
                      <w:rFonts w:eastAsia="Times New Roman"/>
                      <w:color w:val="000000"/>
                      <w:lang w:eastAsia="en-GB"/>
                    </w:rPr>
                  </w:pP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B9E68"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£1,621.13</w:t>
                  </w:r>
                  <w:r w:rsidRPr="00E02D2A">
                    <w:rPr>
                      <w:rFonts w:eastAsia="Times New Roman"/>
                      <w:color w:val="000000"/>
                      <w:lang w:eastAsia="en-GB"/>
                    </w:rPr>
                    <w:t>​</w:t>
                  </w:r>
                </w:p>
              </w:tc>
              <w:tc>
                <w:tcPr>
                  <w:tcW w:w="1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38BC28" w14:textId="77777777" w:rsid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£2,163.01</w:t>
                  </w:r>
                  <w:r w:rsidRPr="00E02D2A">
                    <w:rPr>
                      <w:rFonts w:eastAsia="Times New Roman"/>
                      <w:color w:val="000000"/>
                      <w:lang w:eastAsia="en-GB"/>
                    </w:rPr>
                    <w:t>​</w:t>
                  </w:r>
                </w:p>
                <w:p w14:paraId="4038D432" w14:textId="5AA63F5B" w:rsidR="00A540B2" w:rsidRPr="00E02D2A" w:rsidRDefault="00A540B2" w:rsidP="00E02D2A">
                  <w:pPr>
                    <w:suppressAutoHyphens w:val="0"/>
                    <w:autoSpaceDN/>
                    <w:spacing w:before="100" w:beforeAutospacing="1" w:after="100" w:afterAutospacing="1" w:line="240" w:lineRule="auto"/>
                    <w:rPr>
                      <w:rFonts w:eastAsia="Times New Roman"/>
                      <w:color w:val="000000"/>
                      <w:lang w:eastAsia="en-GB"/>
                    </w:rPr>
                  </w:pP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3168E4" w14:textId="77777777" w:rsidR="00E02D2A" w:rsidRPr="00E02D2A" w:rsidRDefault="00E02D2A" w:rsidP="00E02D2A">
                  <w:pPr>
                    <w:suppressAutoHyphens w:val="0"/>
                    <w:autoSpaceDN/>
                    <w:spacing w:before="100" w:beforeAutospacing="1" w:after="100" w:afterAutospacing="1" w:line="240" w:lineRule="auto"/>
                    <w:rPr>
                      <w:rFonts w:eastAsia="Times New Roman"/>
                      <w:color w:val="000000"/>
                      <w:lang w:eastAsia="en-GB"/>
                    </w:rPr>
                  </w:pPr>
                  <w:r w:rsidRPr="00E02D2A">
                    <w:rPr>
                      <w:rFonts w:eastAsia="Times New Roman"/>
                      <w:b/>
                      <w:bCs/>
                      <w:color w:val="000000"/>
                      <w:lang w:eastAsia="en-GB"/>
                    </w:rPr>
                    <w:t>£1,387.68</w:t>
                  </w:r>
                  <w:r w:rsidRPr="00E02D2A">
                    <w:rPr>
                      <w:rFonts w:eastAsia="Times New Roman"/>
                      <w:color w:val="000000"/>
                      <w:lang w:eastAsia="en-GB"/>
                    </w:rPr>
                    <w:t>​</w:t>
                  </w:r>
                </w:p>
              </w:tc>
            </w:tr>
          </w:tbl>
          <w:p w14:paraId="5CC39B58" w14:textId="77777777" w:rsidR="00471EDA" w:rsidRPr="000B6313" w:rsidRDefault="00471EDA" w:rsidP="00940EDE">
            <w:pPr>
              <w:spacing w:after="0" w:line="240" w:lineRule="auto"/>
            </w:pPr>
          </w:p>
          <w:p w14:paraId="40D6463A" w14:textId="52E51716" w:rsidR="00250C05" w:rsidRDefault="003D7DB4" w:rsidP="00940EDE">
            <w:pPr>
              <w:spacing w:after="0" w:line="240" w:lineRule="auto"/>
            </w:pPr>
            <w:r w:rsidRPr="000B6313">
              <w:t xml:space="preserve">The reliability of the fair cost of care exercise as a benchmark for local fees is limited by </w:t>
            </w:r>
            <w:proofErr w:type="gramStart"/>
            <w:r w:rsidRPr="000B6313">
              <w:t>a number of</w:t>
            </w:r>
            <w:proofErr w:type="gramEnd"/>
            <w:r w:rsidRPr="000B6313">
              <w:t xml:space="preserve"> </w:t>
            </w:r>
            <w:r w:rsidR="005158C0" w:rsidRPr="000B6313">
              <w:t>challenges</w:t>
            </w:r>
            <w:r w:rsidRPr="000B6313">
              <w:t xml:space="preserve"> </w:t>
            </w:r>
            <w:r w:rsidR="00C67B1D" w:rsidRPr="000B6313">
              <w:t>related to t</w:t>
            </w:r>
            <w:r w:rsidRPr="000B6313">
              <w:t>he national tool. Th</w:t>
            </w:r>
            <w:r w:rsidR="007F6F6C" w:rsidRPr="000B6313">
              <w:t>is</w:t>
            </w:r>
            <w:r w:rsidRPr="000B6313">
              <w:t xml:space="preserve"> include</w:t>
            </w:r>
            <w:r w:rsidR="007F6F6C" w:rsidRPr="000B6313">
              <w:t>s</w:t>
            </w:r>
            <w:r w:rsidR="00940EDE" w:rsidRPr="000B6313">
              <w:t xml:space="preserve"> t</w:t>
            </w:r>
            <w:r w:rsidR="008A003F" w:rsidRPr="000B6313">
              <w:t>he tool does not specifically identify the cost of care for eligible social care needs</w:t>
            </w:r>
            <w:r w:rsidR="00FE4B6A" w:rsidRPr="000B6313">
              <w:t xml:space="preserve">. Submitted costs will include costs associated with providing health funded care and additional </w:t>
            </w:r>
            <w:r w:rsidR="00174444" w:rsidRPr="000B6313">
              <w:t>non-eligible service</w:t>
            </w:r>
            <w:r w:rsidR="007F6F6C" w:rsidRPr="000B6313">
              <w:t>s related to wider business decisions</w:t>
            </w:r>
            <w:r w:rsidR="00940EDE" w:rsidRPr="000B6313">
              <w:t xml:space="preserve">. The wide variation in lower and upper quartile costs </w:t>
            </w:r>
            <w:r w:rsidR="00DB09AA" w:rsidRPr="000B6313">
              <w:t xml:space="preserve">demonstrates </w:t>
            </w:r>
            <w:r w:rsidR="005158C0" w:rsidRPr="000B6313">
              <w:t xml:space="preserve">the lack of consistency </w:t>
            </w:r>
            <w:r w:rsidR="00B668A4" w:rsidRPr="000B6313">
              <w:t>in the costs being included.</w:t>
            </w:r>
            <w:r w:rsidR="00CA796A" w:rsidRPr="000B6313">
              <w:t xml:space="preserve"> Table 6 provides a summary of the Fair Cost of Care outcomes for </w:t>
            </w:r>
            <w:r w:rsidR="008A07B8" w:rsidRPr="000B6313">
              <w:t xml:space="preserve">authorities in the Buckinghamshire, </w:t>
            </w:r>
            <w:proofErr w:type="gramStart"/>
            <w:r w:rsidR="008A07B8" w:rsidRPr="000B6313">
              <w:t>Oxfordshire</w:t>
            </w:r>
            <w:proofErr w:type="gramEnd"/>
            <w:r w:rsidR="008A07B8" w:rsidRPr="000B6313">
              <w:t xml:space="preserve"> and West Berkshire Integrated Care System</w:t>
            </w:r>
          </w:p>
          <w:p w14:paraId="569FB8F9" w14:textId="77777777" w:rsidR="007F6F6C" w:rsidRPr="000B6313" w:rsidRDefault="007F6F6C" w:rsidP="00B7188C">
            <w:pPr>
              <w:spacing w:after="0" w:line="240" w:lineRule="auto"/>
            </w:pPr>
          </w:p>
          <w:p w14:paraId="204B76D1" w14:textId="19BFFC0C" w:rsidR="003D7DB4" w:rsidRPr="000B6313" w:rsidRDefault="008A07B8" w:rsidP="00E67A70">
            <w:pPr>
              <w:spacing w:after="0" w:line="240" w:lineRule="auto"/>
              <w:rPr>
                <w:b/>
                <w:bCs/>
              </w:rPr>
            </w:pPr>
            <w:r w:rsidRPr="000B6313">
              <w:rPr>
                <w:b/>
                <w:bCs/>
              </w:rPr>
              <w:t xml:space="preserve">Table </w:t>
            </w:r>
            <w:r w:rsidR="00B7188C">
              <w:rPr>
                <w:b/>
                <w:bCs/>
              </w:rPr>
              <w:t>7</w:t>
            </w:r>
            <w:r w:rsidR="00EC41C5" w:rsidRPr="000B6313">
              <w:rPr>
                <w:b/>
                <w:bCs/>
              </w:rPr>
              <w:t>: Comparison of Outcomes from BOB Local Authorities Fair Cost of Care Exercises</w:t>
            </w:r>
            <w:r w:rsidR="00FE2569">
              <w:rPr>
                <w:b/>
                <w:bCs/>
              </w:rPr>
              <w:t>*</w:t>
            </w:r>
          </w:p>
          <w:p w14:paraId="1F9D07ED" w14:textId="337F407B" w:rsidR="003D7DB4" w:rsidRPr="000B6313" w:rsidRDefault="00C31A7B" w:rsidP="00E67A70">
            <w:pPr>
              <w:spacing w:after="0" w:line="240" w:lineRule="auto"/>
            </w:pPr>
            <w:r>
              <w:rPr>
                <w:noProof/>
              </w:rPr>
              <w:drawing>
                <wp:inline distT="0" distB="0" distL="0" distR="0" wp14:anchorId="512D2018" wp14:editId="7E6BADFE">
                  <wp:extent cx="5466936" cy="26955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7434" cy="2700751"/>
                          </a:xfrm>
                          <a:prstGeom prst="rect">
                            <a:avLst/>
                          </a:prstGeom>
                          <a:noFill/>
                        </pic:spPr>
                      </pic:pic>
                    </a:graphicData>
                  </a:graphic>
                </wp:inline>
              </w:drawing>
            </w:r>
          </w:p>
          <w:p w14:paraId="51BA5346" w14:textId="36A8CA2B" w:rsidR="00180057" w:rsidRPr="000B6313" w:rsidRDefault="00BA6F6A" w:rsidP="00E67A70">
            <w:pPr>
              <w:spacing w:after="0" w:line="240" w:lineRule="auto"/>
              <w:rPr>
                <w:i/>
                <w:iCs/>
              </w:rPr>
            </w:pPr>
            <w:r w:rsidRPr="000B6313">
              <w:t>*</w:t>
            </w:r>
            <w:r w:rsidRPr="00C54A7F">
              <w:rPr>
                <w:i/>
                <w:iCs/>
                <w:sz w:val="20"/>
                <w:szCs w:val="20"/>
              </w:rPr>
              <w:t xml:space="preserve">Collated and kindly shared by the Milton Keynes and Buckinghamshire Care Association </w:t>
            </w:r>
          </w:p>
          <w:p w14:paraId="66C538A7" w14:textId="77777777" w:rsidR="00A06D8C" w:rsidRPr="000B6313" w:rsidRDefault="00A06D8C" w:rsidP="00E67A70">
            <w:pPr>
              <w:spacing w:after="0" w:line="240" w:lineRule="auto"/>
            </w:pPr>
          </w:p>
          <w:p w14:paraId="1239B854" w14:textId="1F630668" w:rsidR="00A32E0D" w:rsidRPr="000B6313" w:rsidRDefault="00CB1664" w:rsidP="00E67A70">
            <w:pPr>
              <w:spacing w:after="0" w:line="240" w:lineRule="auto"/>
            </w:pPr>
            <w:r w:rsidRPr="000B6313">
              <w:t xml:space="preserve">The spread of </w:t>
            </w:r>
            <w:r w:rsidR="0051730B" w:rsidRPr="000B6313">
              <w:t xml:space="preserve">price </w:t>
            </w:r>
            <w:r w:rsidR="00832244" w:rsidRPr="000B6313">
              <w:t xml:space="preserve">between the lower quartile and upper quartile presented in Figure 3, </w:t>
            </w:r>
            <w:r w:rsidR="00AF01D9" w:rsidRPr="000B6313">
              <w:t>demonstrates that the differenc</w:t>
            </w:r>
            <w:r w:rsidR="00E53A24" w:rsidRPr="000B6313">
              <w:t xml:space="preserve">es in prices probably reflect more than a difference in cost of care for eligible care needs, but also the variation in services care homes provide. </w:t>
            </w:r>
            <w:r w:rsidR="0049787E" w:rsidRPr="000B6313">
              <w:t>Analysis by LG Inform demonstrates that the fee rates in Buckinghamshire compare well with other authorities</w:t>
            </w:r>
            <w:r w:rsidR="00081F68" w:rsidRPr="000B6313">
              <w:t xml:space="preserve">. </w:t>
            </w:r>
            <w:r w:rsidR="007662AF" w:rsidRPr="000B6313">
              <w:t xml:space="preserve">Table 7 compares Buckinghamshire with </w:t>
            </w:r>
            <w:r w:rsidR="001C024B" w:rsidRPr="000B6313">
              <w:t xml:space="preserve">authorities with the highest paying averages for care home beds and Table 8 </w:t>
            </w:r>
            <w:r w:rsidR="00A32E0D" w:rsidRPr="000B6313">
              <w:t>for highest paying averages for home care</w:t>
            </w:r>
            <w:r w:rsidR="003B55C2" w:rsidRPr="000B6313">
              <w:t>. These rankings are out of 65 authorities.</w:t>
            </w:r>
          </w:p>
          <w:p w14:paraId="322D373F" w14:textId="77777777" w:rsidR="00702326" w:rsidRDefault="00702326" w:rsidP="00E67A70">
            <w:pPr>
              <w:spacing w:after="0" w:line="240" w:lineRule="auto"/>
              <w:rPr>
                <w:b/>
                <w:bCs/>
              </w:rPr>
            </w:pPr>
          </w:p>
          <w:p w14:paraId="45159417" w14:textId="77777777" w:rsidR="0089020A" w:rsidRDefault="0089020A" w:rsidP="00E67A70">
            <w:pPr>
              <w:spacing w:after="0" w:line="240" w:lineRule="auto"/>
              <w:rPr>
                <w:b/>
                <w:bCs/>
              </w:rPr>
            </w:pPr>
          </w:p>
          <w:p w14:paraId="0F664278" w14:textId="5E2824B8" w:rsidR="00A32E0D" w:rsidRPr="000B6313" w:rsidRDefault="00A32E0D" w:rsidP="00E67A70">
            <w:pPr>
              <w:spacing w:after="0" w:line="240" w:lineRule="auto"/>
            </w:pPr>
            <w:r w:rsidRPr="000B6313">
              <w:rPr>
                <w:b/>
                <w:bCs/>
              </w:rPr>
              <w:t xml:space="preserve">Table </w:t>
            </w:r>
            <w:r w:rsidR="0089020A">
              <w:rPr>
                <w:b/>
                <w:bCs/>
              </w:rPr>
              <w:t>8</w:t>
            </w:r>
            <w:r w:rsidRPr="000B6313">
              <w:rPr>
                <w:b/>
                <w:bCs/>
              </w:rPr>
              <w:t>:</w:t>
            </w:r>
            <w:r w:rsidR="000E5054" w:rsidRPr="000B6313">
              <w:rPr>
                <w:b/>
                <w:bCs/>
              </w:rPr>
              <w:t xml:space="preserve"> Ranking of Buckinghamshire for the Highest Average Payers for Care Home Beds</w:t>
            </w:r>
            <w:r w:rsidR="00FE2569">
              <w:rPr>
                <w:b/>
                <w:bCs/>
              </w:rPr>
              <w:t>*</w:t>
            </w:r>
          </w:p>
          <w:p w14:paraId="57134AA2" w14:textId="6BDD34BD" w:rsidR="00A32E0D" w:rsidRPr="000B6313" w:rsidRDefault="00A32E0D" w:rsidP="00E67A70">
            <w:pPr>
              <w:spacing w:after="0" w:line="240" w:lineRule="auto"/>
            </w:pPr>
            <w:r w:rsidRPr="000B6313">
              <w:rPr>
                <w:noProof/>
              </w:rPr>
              <w:drawing>
                <wp:inline distT="0" distB="0" distL="0" distR="0" wp14:anchorId="203D1A9E" wp14:editId="32B783D1">
                  <wp:extent cx="5067300" cy="28098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1274" cy="2817613"/>
                          </a:xfrm>
                          <a:prstGeom prst="rect">
                            <a:avLst/>
                          </a:prstGeom>
                        </pic:spPr>
                      </pic:pic>
                    </a:graphicData>
                  </a:graphic>
                </wp:inline>
              </w:drawing>
            </w:r>
          </w:p>
          <w:p w14:paraId="15AC445D" w14:textId="77777777" w:rsidR="003B55C2" w:rsidRPr="000B6313" w:rsidRDefault="003B55C2" w:rsidP="003B55C2">
            <w:pPr>
              <w:spacing w:after="0" w:line="240" w:lineRule="auto"/>
            </w:pPr>
            <w:r w:rsidRPr="000B6313">
              <w:t>*</w:t>
            </w:r>
            <w:r w:rsidRPr="000B6313">
              <w:rPr>
                <w:i/>
                <w:iCs/>
              </w:rPr>
              <w:t xml:space="preserve"> </w:t>
            </w:r>
            <w:r w:rsidRPr="00C54A7F">
              <w:rPr>
                <w:i/>
                <w:iCs/>
                <w:sz w:val="20"/>
                <w:szCs w:val="20"/>
              </w:rPr>
              <w:t>Collated and kindly shared by the Milton Keynes and Buckinghamshire Care Association</w:t>
            </w:r>
          </w:p>
          <w:p w14:paraId="55FEB9E2" w14:textId="77777777" w:rsidR="00C54A7F" w:rsidRDefault="00C54A7F" w:rsidP="00E67A70">
            <w:pPr>
              <w:spacing w:after="0" w:line="240" w:lineRule="auto"/>
            </w:pPr>
          </w:p>
          <w:p w14:paraId="5ED7B43C" w14:textId="477105F7" w:rsidR="00D5308A" w:rsidRPr="000B6313" w:rsidRDefault="00D5308A" w:rsidP="00E67A70">
            <w:pPr>
              <w:spacing w:after="0" w:line="240" w:lineRule="auto"/>
            </w:pPr>
            <w:r w:rsidRPr="000B6313">
              <w:t xml:space="preserve">For 2022/23 the Fair Cost of Care grant </w:t>
            </w:r>
            <w:r w:rsidR="00DC25A9" w:rsidRPr="000B6313">
              <w:t>is being used to</w:t>
            </w:r>
            <w:r w:rsidRPr="000B6313">
              <w:t xml:space="preserve"> </w:t>
            </w:r>
            <w:r w:rsidR="009138DF" w:rsidRPr="000B6313">
              <w:t xml:space="preserve">support increased spot prices </w:t>
            </w:r>
          </w:p>
          <w:p w14:paraId="26AFDD6D" w14:textId="43CE610F" w:rsidR="00661581" w:rsidRPr="000B6313" w:rsidRDefault="00661581" w:rsidP="00E67A70">
            <w:pPr>
              <w:spacing w:after="0" w:line="240" w:lineRule="auto"/>
            </w:pPr>
          </w:p>
          <w:p w14:paraId="23AE3B1F" w14:textId="77777777" w:rsidR="00FF7BF2" w:rsidRPr="000B6313" w:rsidRDefault="00661581" w:rsidP="00E67A70">
            <w:pPr>
              <w:spacing w:after="0" w:line="240" w:lineRule="auto"/>
            </w:pPr>
            <w:r w:rsidRPr="000B6313">
              <w:t xml:space="preserve">For 2023/24 the Council was anticipating a Fair Cost of Care Grant </w:t>
            </w:r>
            <w:r w:rsidR="001F18F6" w:rsidRPr="000B6313">
              <w:t>allocation</w:t>
            </w:r>
            <w:r w:rsidR="00CA1807" w:rsidRPr="000B6313">
              <w:t xml:space="preserve"> to start supporting progress towards a sustainable price for care. Following the announcement of a </w:t>
            </w:r>
            <w:proofErr w:type="gramStart"/>
            <w:r w:rsidR="00CA1807" w:rsidRPr="000B6313">
              <w:t>two year</w:t>
            </w:r>
            <w:proofErr w:type="gramEnd"/>
            <w:r w:rsidR="00CA1807" w:rsidRPr="000B6313">
              <w:t xml:space="preserve"> delay to the implementation of the reforms, this grant will no longer be available. However, the government has instead committed to additional funding for adult social care in 2023/24 and 2024/25 This funding has been built into the modelling for the 2023/24 fee uplift, which is currently </w:t>
            </w:r>
            <w:r w:rsidR="00D9594A" w:rsidRPr="000B6313">
              <w:t xml:space="preserve">going through the </w:t>
            </w:r>
            <w:proofErr w:type="gramStart"/>
            <w:r w:rsidR="00D9594A" w:rsidRPr="000B6313">
              <w:t>decision making</w:t>
            </w:r>
            <w:proofErr w:type="gramEnd"/>
            <w:r w:rsidR="00D9594A" w:rsidRPr="000B6313">
              <w:t xml:space="preserve"> process</w:t>
            </w:r>
            <w:r w:rsidR="00F6459D" w:rsidRPr="000B6313">
              <w:t>. In this way the additional funding will be passed on to providers</w:t>
            </w:r>
            <w:r w:rsidR="006D7523" w:rsidRPr="000B6313">
              <w:t xml:space="preserve"> as part of their annual fee uplift award. </w:t>
            </w:r>
          </w:p>
          <w:p w14:paraId="32B85798" w14:textId="77777777" w:rsidR="00FF7BF2" w:rsidRPr="000B6313" w:rsidRDefault="00FF7BF2" w:rsidP="00E67A70">
            <w:pPr>
              <w:spacing w:after="0" w:line="240" w:lineRule="auto"/>
            </w:pPr>
          </w:p>
          <w:p w14:paraId="704125A2" w14:textId="282DF52F" w:rsidR="00CA1807" w:rsidRDefault="006D7523" w:rsidP="00E67A70">
            <w:pPr>
              <w:spacing w:after="0" w:line="240" w:lineRule="auto"/>
            </w:pPr>
            <w:r w:rsidRPr="000B6313">
              <w:t xml:space="preserve">For 65+ residential and nursing, this is proposed as a flat rate uplift </w:t>
            </w:r>
            <w:r w:rsidR="00F47C6A" w:rsidRPr="000B6313">
              <w:t xml:space="preserve">of 7% </w:t>
            </w:r>
            <w:r w:rsidRPr="000B6313">
              <w:t xml:space="preserve">across the </w:t>
            </w:r>
            <w:r w:rsidR="00B65B74" w:rsidRPr="000B6313">
              <w:t>whole market for 2023/24</w:t>
            </w:r>
            <w:r w:rsidRPr="000B6313">
              <w:t>.</w:t>
            </w:r>
            <w:r w:rsidR="00451D19" w:rsidRPr="000B6313">
              <w:t xml:space="preserve"> In future years, the</w:t>
            </w:r>
            <w:r w:rsidR="004238D9" w:rsidRPr="000B6313">
              <w:t xml:space="preserve"> Council may consider </w:t>
            </w:r>
            <w:r w:rsidR="003C75B5" w:rsidRPr="000B6313">
              <w:t xml:space="preserve">more significant uplifts at the bottom of the market rather than the same flat rate across all providers. This </w:t>
            </w:r>
            <w:r w:rsidR="00DC0713" w:rsidRPr="000B6313">
              <w:t xml:space="preserve">will help to level out prices as the Council introduces the dynamic purchasing vehicle and moves towards </w:t>
            </w:r>
            <w:r w:rsidR="00144461" w:rsidRPr="000B6313">
              <w:t xml:space="preserve">a sustainable price for care as the Adult Social Care reforms are rolled out. The speed at which Buckinghamshire Council </w:t>
            </w:r>
            <w:proofErr w:type="gramStart"/>
            <w:r w:rsidR="00144461" w:rsidRPr="000B6313">
              <w:t>is able to</w:t>
            </w:r>
            <w:proofErr w:type="gramEnd"/>
            <w:r w:rsidR="00144461" w:rsidRPr="000B6313">
              <w:t xml:space="preserve"> move towards a sustainable price for care will </w:t>
            </w:r>
            <w:r w:rsidR="00953DB7" w:rsidRPr="000B6313">
              <w:t xml:space="preserve">linked to the level of funding that is made available by central Government. </w:t>
            </w:r>
          </w:p>
          <w:p w14:paraId="0623DD00" w14:textId="77777777" w:rsidR="00C54A7F" w:rsidRPr="000B6313" w:rsidRDefault="00C54A7F" w:rsidP="00E67A70">
            <w:pPr>
              <w:spacing w:after="0" w:line="240" w:lineRule="auto"/>
            </w:pPr>
          </w:p>
          <w:p w14:paraId="0B9F1004" w14:textId="41BCCCF9" w:rsidR="0010397D" w:rsidRPr="000B6313" w:rsidRDefault="0010397D" w:rsidP="008B1262">
            <w:pPr>
              <w:spacing w:after="0" w:line="240" w:lineRule="auto"/>
            </w:pPr>
          </w:p>
        </w:tc>
      </w:tr>
      <w:tr w:rsidR="005D24CB" w:rsidRPr="000B6313" w14:paraId="0B9F1007"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1006" w14:textId="77777777" w:rsidR="005D24CB" w:rsidRPr="000B6313" w:rsidRDefault="000B27B8">
            <w:pPr>
              <w:pStyle w:val="ListParagraph"/>
              <w:numPr>
                <w:ilvl w:val="0"/>
                <w:numId w:val="7"/>
              </w:numPr>
              <w:spacing w:after="0" w:line="240" w:lineRule="auto"/>
              <w:rPr>
                <w:b/>
                <w:bCs/>
              </w:rPr>
            </w:pPr>
            <w:r w:rsidRPr="000B6313">
              <w:rPr>
                <w:b/>
                <w:bCs/>
              </w:rPr>
              <w:lastRenderedPageBreak/>
              <w:t>18+ domiciliary care market</w:t>
            </w:r>
          </w:p>
        </w:tc>
      </w:tr>
      <w:tr w:rsidR="00D04D8D" w:rsidRPr="000B6313" w14:paraId="0B9F100F" w14:textId="77777777" w:rsidTr="3AF364E3">
        <w:tc>
          <w:tcPr>
            <w:tcW w:w="8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BBFD6" w14:textId="39B398CF" w:rsidR="00A27FF0" w:rsidRPr="000B6313" w:rsidRDefault="00FF7BF2" w:rsidP="003C2479">
            <w:pPr>
              <w:spacing w:after="0" w:line="240" w:lineRule="auto"/>
              <w:rPr>
                <w:color w:val="FF0000"/>
              </w:rPr>
            </w:pPr>
            <w:r w:rsidRPr="000B6313">
              <w:t xml:space="preserve">In line with the Fair Cost of Care grant conditions, the Council completed fair cost of care exercise for 18+ Home Care providers. Despite extensive promotion of the exercise and the offer of individual support to providers to complete, only 5% submitted a return. </w:t>
            </w:r>
            <w:r w:rsidR="007A73FF" w:rsidRPr="000B6313">
              <w:t xml:space="preserve">Reasons given for not participating included that this exercise was undertaken over the summer when providers were </w:t>
            </w:r>
            <w:proofErr w:type="gramStart"/>
            <w:r w:rsidR="007A73FF" w:rsidRPr="000B6313">
              <w:t>stretched</w:t>
            </w:r>
            <w:proofErr w:type="gramEnd"/>
            <w:r w:rsidR="007A73FF" w:rsidRPr="000B6313">
              <w:t xml:space="preserve"> </w:t>
            </w:r>
            <w:r w:rsidR="00EC2904" w:rsidRPr="000B6313">
              <w:t xml:space="preserve">and key staff were on leave and </w:t>
            </w:r>
            <w:r w:rsidR="00A216D5" w:rsidRPr="000B6313">
              <w:t xml:space="preserve">concerns sharing commercial information (Buckinghamshire had employed an external agency to complete the </w:t>
            </w:r>
            <w:r w:rsidR="00080199" w:rsidRPr="000B6313">
              <w:t xml:space="preserve">exercise so that the Council would not see individual provider information and this was known to the providers). Given the </w:t>
            </w:r>
            <w:r w:rsidR="00C97E40" w:rsidRPr="000B6313">
              <w:t xml:space="preserve">low response rate for this exercise the </w:t>
            </w:r>
            <w:r w:rsidR="00580917" w:rsidRPr="000B6313">
              <w:t>outcome (</w:t>
            </w:r>
            <w:r w:rsidR="00C97E40" w:rsidRPr="000B6313">
              <w:t xml:space="preserve">median </w:t>
            </w:r>
            <w:r w:rsidR="00580917" w:rsidRPr="000B6313">
              <w:t>figure of £</w:t>
            </w:r>
            <w:proofErr w:type="gramStart"/>
            <w:r w:rsidR="00580917" w:rsidRPr="000B6313">
              <w:t>28.32p.h</w:t>
            </w:r>
            <w:proofErr w:type="gramEnd"/>
            <w:r w:rsidR="00580917" w:rsidRPr="000B6313">
              <w:t>)</w:t>
            </w:r>
            <w:r w:rsidR="002F5B8A" w:rsidRPr="000B6313">
              <w:t xml:space="preserve"> is not considered as a reliable benchmark for local fees. </w:t>
            </w:r>
          </w:p>
          <w:p w14:paraId="469EFE72" w14:textId="77777777" w:rsidR="00A27FF0" w:rsidRPr="000B6313" w:rsidRDefault="00A27FF0" w:rsidP="003C2479">
            <w:pPr>
              <w:spacing w:after="0" w:line="240" w:lineRule="auto"/>
            </w:pPr>
          </w:p>
          <w:p w14:paraId="048DBCB1" w14:textId="5520D43C" w:rsidR="0057232A" w:rsidRDefault="004D1755" w:rsidP="003C2479">
            <w:pPr>
              <w:spacing w:after="0" w:line="240" w:lineRule="auto"/>
              <w:rPr>
                <w:color w:val="000000" w:themeColor="text1"/>
              </w:rPr>
            </w:pPr>
            <w:r w:rsidRPr="000B6313">
              <w:rPr>
                <w:color w:val="000000" w:themeColor="text1"/>
              </w:rPr>
              <w:t xml:space="preserve">LG Inform data </w:t>
            </w:r>
            <w:r w:rsidR="005A5B8B" w:rsidRPr="000B6313">
              <w:rPr>
                <w:color w:val="000000" w:themeColor="text1"/>
              </w:rPr>
              <w:t xml:space="preserve">identifies Buckinghamshire </w:t>
            </w:r>
            <w:r w:rsidR="00DF46E4" w:rsidRPr="000B6313">
              <w:rPr>
                <w:color w:val="000000" w:themeColor="text1"/>
              </w:rPr>
              <w:t>as ranking 18</w:t>
            </w:r>
            <w:r w:rsidR="00DF46E4" w:rsidRPr="000B6313">
              <w:rPr>
                <w:color w:val="000000" w:themeColor="text1"/>
                <w:vertAlign w:val="superscript"/>
              </w:rPr>
              <w:t>th</w:t>
            </w:r>
            <w:r w:rsidR="00DF46E4" w:rsidRPr="000B6313">
              <w:rPr>
                <w:color w:val="000000" w:themeColor="text1"/>
              </w:rPr>
              <w:t xml:space="preserve"> in the </w:t>
            </w:r>
            <w:r w:rsidR="00993086" w:rsidRPr="000B6313">
              <w:rPr>
                <w:color w:val="000000" w:themeColor="text1"/>
              </w:rPr>
              <w:t>highest average payers in home care</w:t>
            </w:r>
            <w:r w:rsidR="004A403E" w:rsidRPr="000B6313">
              <w:rPr>
                <w:color w:val="000000" w:themeColor="text1"/>
              </w:rPr>
              <w:t xml:space="preserve"> out of 65 authorities</w:t>
            </w:r>
          </w:p>
          <w:p w14:paraId="1EF088AA" w14:textId="77777777" w:rsidR="00FE2569" w:rsidRDefault="00FE2569" w:rsidP="003C2479">
            <w:pPr>
              <w:spacing w:after="0" w:line="240" w:lineRule="auto"/>
              <w:rPr>
                <w:color w:val="FF0000"/>
              </w:rPr>
            </w:pPr>
          </w:p>
          <w:p w14:paraId="3818700F" w14:textId="77777777" w:rsidR="00FE2569" w:rsidRPr="000B6313" w:rsidRDefault="00FE2569" w:rsidP="003C2479">
            <w:pPr>
              <w:spacing w:after="0" w:line="240" w:lineRule="auto"/>
              <w:rPr>
                <w:color w:val="FF0000"/>
              </w:rPr>
            </w:pPr>
          </w:p>
          <w:p w14:paraId="60983456" w14:textId="477D4CF2" w:rsidR="00FF7BF2" w:rsidRPr="000B6313" w:rsidRDefault="00FF7BF2" w:rsidP="00FF7BF2">
            <w:pPr>
              <w:spacing w:after="0" w:line="240" w:lineRule="auto"/>
              <w:rPr>
                <w:b/>
                <w:bCs/>
              </w:rPr>
            </w:pPr>
            <w:r w:rsidRPr="000B6313">
              <w:rPr>
                <w:b/>
                <w:bCs/>
              </w:rPr>
              <w:t xml:space="preserve">Table </w:t>
            </w:r>
            <w:r w:rsidR="0089020A">
              <w:rPr>
                <w:b/>
                <w:bCs/>
              </w:rPr>
              <w:t>9</w:t>
            </w:r>
            <w:r w:rsidRPr="000B6313">
              <w:rPr>
                <w:b/>
                <w:bCs/>
              </w:rPr>
              <w:t>: Ranking of Buckinghamshire for the Highest Average Payers for Home Care</w:t>
            </w:r>
            <w:r w:rsidR="00FE2569">
              <w:rPr>
                <w:b/>
                <w:bCs/>
              </w:rPr>
              <w:t>*</w:t>
            </w:r>
          </w:p>
          <w:p w14:paraId="4A1CB516" w14:textId="77777777" w:rsidR="00FF7BF2" w:rsidRPr="000B6313" w:rsidRDefault="00FF7BF2" w:rsidP="00FF7BF2">
            <w:pPr>
              <w:spacing w:after="0" w:line="240" w:lineRule="auto"/>
            </w:pPr>
          </w:p>
          <w:p w14:paraId="4A5BF1C5" w14:textId="77777777" w:rsidR="00FF7BF2" w:rsidRPr="000B6313" w:rsidRDefault="00FF7BF2" w:rsidP="00FF7BF2">
            <w:pPr>
              <w:spacing w:after="0" w:line="240" w:lineRule="auto"/>
            </w:pPr>
            <w:r w:rsidRPr="000B6313">
              <w:rPr>
                <w:noProof/>
              </w:rPr>
              <w:drawing>
                <wp:inline distT="0" distB="0" distL="0" distR="0" wp14:anchorId="3563E35D" wp14:editId="4AAA5882">
                  <wp:extent cx="4394200" cy="233000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9515" cy="2343429"/>
                          </a:xfrm>
                          <a:prstGeom prst="rect">
                            <a:avLst/>
                          </a:prstGeom>
                        </pic:spPr>
                      </pic:pic>
                    </a:graphicData>
                  </a:graphic>
                </wp:inline>
              </w:drawing>
            </w:r>
          </w:p>
          <w:p w14:paraId="1711626B" w14:textId="77777777" w:rsidR="00611460" w:rsidRPr="00C54A7F" w:rsidRDefault="00611460" w:rsidP="00611460">
            <w:pPr>
              <w:spacing w:after="0" w:line="240" w:lineRule="auto"/>
              <w:rPr>
                <w:sz w:val="20"/>
                <w:szCs w:val="20"/>
              </w:rPr>
            </w:pPr>
            <w:r w:rsidRPr="000B6313">
              <w:t>*</w:t>
            </w:r>
            <w:r w:rsidRPr="000B6313">
              <w:rPr>
                <w:i/>
                <w:iCs/>
              </w:rPr>
              <w:t xml:space="preserve"> </w:t>
            </w:r>
            <w:r w:rsidRPr="00C54A7F">
              <w:rPr>
                <w:i/>
                <w:iCs/>
                <w:sz w:val="20"/>
                <w:szCs w:val="20"/>
              </w:rPr>
              <w:t>Collated and kindly shared by the Milton Keynes and Buckinghamshire Care Association</w:t>
            </w:r>
          </w:p>
          <w:p w14:paraId="1D3C16F6" w14:textId="77777777" w:rsidR="00702326" w:rsidRDefault="00702326" w:rsidP="004D1755">
            <w:pPr>
              <w:spacing w:after="0" w:line="240" w:lineRule="auto"/>
            </w:pPr>
          </w:p>
          <w:p w14:paraId="74A8B61F" w14:textId="52B6F2BA" w:rsidR="004D1755" w:rsidRPr="000B6313" w:rsidRDefault="004D1755" w:rsidP="004D1755">
            <w:pPr>
              <w:spacing w:after="0" w:line="240" w:lineRule="auto"/>
            </w:pPr>
            <w:r w:rsidRPr="000B6313">
              <w:t>For 2022/23 the Fair Cost of Care grant is being used to bring any providers below £21p.h up to this rate.</w:t>
            </w:r>
          </w:p>
          <w:p w14:paraId="5029F4FF" w14:textId="77777777" w:rsidR="004D1755" w:rsidRPr="000B6313" w:rsidRDefault="004D1755" w:rsidP="004D1755">
            <w:pPr>
              <w:spacing w:after="0" w:line="240" w:lineRule="auto"/>
              <w:ind w:left="360"/>
            </w:pPr>
          </w:p>
          <w:p w14:paraId="708DC09B" w14:textId="49EACF92" w:rsidR="00FD1D1A" w:rsidRPr="000B6313" w:rsidRDefault="00FD1D1A" w:rsidP="004D1755">
            <w:pPr>
              <w:spacing w:after="0" w:line="240" w:lineRule="auto"/>
            </w:pPr>
            <w:r w:rsidRPr="000B6313">
              <w:t xml:space="preserve">For 2023/24 the Council was anticipating a Fair Cost of Care Grant allocation to start supporting progress towards a sustainable price for care. Following the announcement of a </w:t>
            </w:r>
            <w:proofErr w:type="gramStart"/>
            <w:r w:rsidRPr="000B6313">
              <w:t>two year</w:t>
            </w:r>
            <w:proofErr w:type="gramEnd"/>
            <w:r w:rsidRPr="000B6313">
              <w:t xml:space="preserve"> delay to the implementation of the reforms, this grant will no longer be available. However, the government has instead committed to additional funding for adult social care in 2023/24 and 2024/25 This funding has been built into the modelling for the 2023/24 fee uplift, which is currently going through the </w:t>
            </w:r>
            <w:proofErr w:type="gramStart"/>
            <w:r w:rsidRPr="000B6313">
              <w:t>decision making</w:t>
            </w:r>
            <w:proofErr w:type="gramEnd"/>
            <w:r w:rsidRPr="000B6313">
              <w:t xml:space="preserve"> process. </w:t>
            </w:r>
            <w:r w:rsidR="00953DB7" w:rsidRPr="000B6313">
              <w:t xml:space="preserve">In this way the additional funding will be passed on to providers as part of their annual fee uplift award. For </w:t>
            </w:r>
            <w:r w:rsidR="00DD3CA7" w:rsidRPr="000B6313">
              <w:t>domiciliary care</w:t>
            </w:r>
            <w:r w:rsidR="00953DB7" w:rsidRPr="000B6313">
              <w:t xml:space="preserve">, </w:t>
            </w:r>
            <w:r w:rsidR="00DD3CA7" w:rsidRPr="000B6313">
              <w:t xml:space="preserve">the uplift for 2023/24 </w:t>
            </w:r>
            <w:r w:rsidR="00D93FE7" w:rsidRPr="000B6313">
              <w:t xml:space="preserve">is </w:t>
            </w:r>
            <w:proofErr w:type="gramStart"/>
            <w:r w:rsidR="00D93FE7" w:rsidRPr="000B6313">
              <w:t>An</w:t>
            </w:r>
            <w:proofErr w:type="gramEnd"/>
            <w:r w:rsidR="00D93FE7" w:rsidRPr="000B6313">
              <w:t xml:space="preserve"> offer equivalent to 7%. This is split between a 5% uplift for all commissioned home care providers and an additional uplift for providers being paid at the bottom of the market</w:t>
            </w:r>
            <w:r w:rsidR="00254461" w:rsidRPr="000B6313">
              <w:rPr>
                <w:rStyle w:val="CommentReference"/>
                <w:sz w:val="24"/>
                <w:szCs w:val="24"/>
              </w:rPr>
              <w:t>.</w:t>
            </w:r>
            <w:r w:rsidR="00DD3CA7" w:rsidRPr="000B6313">
              <w:t xml:space="preserve"> Further price uplifts are also proposed </w:t>
            </w:r>
            <w:r w:rsidR="0067720E" w:rsidRPr="000B6313">
              <w:t xml:space="preserve">when the Council’s dynamic purchasing vehicle is launched. </w:t>
            </w:r>
            <w:r w:rsidR="00953DB7" w:rsidRPr="000B6313">
              <w:t xml:space="preserve">This </w:t>
            </w:r>
            <w:r w:rsidR="0067720E" w:rsidRPr="000B6313">
              <w:t xml:space="preserve">approach </w:t>
            </w:r>
            <w:r w:rsidR="00953DB7" w:rsidRPr="000B6313">
              <w:t xml:space="preserve">will help to level out prices as the Council introduces the </w:t>
            </w:r>
            <w:r w:rsidR="00953DB7" w:rsidRPr="000B6313">
              <w:lastRenderedPageBreak/>
              <w:t xml:space="preserve">dynamic purchasing </w:t>
            </w:r>
            <w:proofErr w:type="gramStart"/>
            <w:r w:rsidR="00953DB7" w:rsidRPr="000B6313">
              <w:t>vehicle</w:t>
            </w:r>
            <w:r w:rsidR="000A17E0" w:rsidRPr="000B6313">
              <w:t>, and</w:t>
            </w:r>
            <w:proofErr w:type="gramEnd"/>
            <w:r w:rsidR="000A17E0" w:rsidRPr="000B6313">
              <w:t xml:space="preserve"> will start to support a move towards </w:t>
            </w:r>
            <w:r w:rsidR="00953DB7" w:rsidRPr="000B6313">
              <w:t>a sustainable price for ca</w:t>
            </w:r>
            <w:r w:rsidR="000A17E0" w:rsidRPr="000B6313">
              <w:t>re</w:t>
            </w:r>
            <w:r w:rsidR="00953DB7" w:rsidRPr="000B6313">
              <w:t xml:space="preserve">. The speed at which Buckinghamshire Council </w:t>
            </w:r>
            <w:proofErr w:type="gramStart"/>
            <w:r w:rsidR="00953DB7" w:rsidRPr="000B6313">
              <w:t>is able to</w:t>
            </w:r>
            <w:proofErr w:type="gramEnd"/>
            <w:r w:rsidR="00953DB7" w:rsidRPr="000B6313">
              <w:t xml:space="preserve"> move towards a sustainable price for care will linked to the level of funding that is made available by central Government.</w:t>
            </w:r>
          </w:p>
          <w:p w14:paraId="4DE4B8AA" w14:textId="77777777" w:rsidR="00FD1D1A" w:rsidRPr="000B6313" w:rsidRDefault="00FD1D1A" w:rsidP="00FD1D1A">
            <w:pPr>
              <w:spacing w:after="0" w:line="240" w:lineRule="auto"/>
            </w:pPr>
          </w:p>
          <w:p w14:paraId="601C4D9B" w14:textId="77777777" w:rsidR="00942AB2" w:rsidRPr="000B6313" w:rsidRDefault="00942AB2" w:rsidP="00D04D8D">
            <w:pPr>
              <w:spacing w:after="0" w:line="240" w:lineRule="auto"/>
            </w:pPr>
          </w:p>
          <w:p w14:paraId="0B9F100E" w14:textId="363B6FF2" w:rsidR="00D04D8D" w:rsidRPr="000B6313" w:rsidRDefault="6BECF3B7" w:rsidP="00D04D8D">
            <w:pPr>
              <w:spacing w:after="0" w:line="240" w:lineRule="auto"/>
            </w:pPr>
            <w:r w:rsidRPr="000B6313">
              <w:t xml:space="preserve"> </w:t>
            </w:r>
          </w:p>
        </w:tc>
      </w:tr>
    </w:tbl>
    <w:p w14:paraId="1158AB5B" w14:textId="7D18A2E0" w:rsidR="31BAD687" w:rsidRPr="000B6313" w:rsidRDefault="31BAD687" w:rsidP="31BAD687"/>
    <w:sectPr w:rsidR="31BAD687" w:rsidRPr="000B6313" w:rsidSect="00C54A7F">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3113" w14:textId="77777777" w:rsidR="006379EA" w:rsidRDefault="006379EA">
      <w:pPr>
        <w:spacing w:after="0" w:line="240" w:lineRule="auto"/>
      </w:pPr>
      <w:r>
        <w:separator/>
      </w:r>
    </w:p>
  </w:endnote>
  <w:endnote w:type="continuationSeparator" w:id="0">
    <w:p w14:paraId="2D576FC4" w14:textId="77777777" w:rsidR="006379EA" w:rsidRDefault="006379EA">
      <w:pPr>
        <w:spacing w:after="0" w:line="240" w:lineRule="auto"/>
      </w:pPr>
      <w:r>
        <w:continuationSeparator/>
      </w:r>
    </w:p>
  </w:endnote>
  <w:endnote w:type="continuationNotice" w:id="1">
    <w:p w14:paraId="33C52711" w14:textId="77777777" w:rsidR="006379EA" w:rsidRDefault="00637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C703" w14:textId="77777777" w:rsidR="006379EA" w:rsidRDefault="006379EA">
      <w:pPr>
        <w:spacing w:after="0" w:line="240" w:lineRule="auto"/>
      </w:pPr>
      <w:r>
        <w:rPr>
          <w:color w:val="000000"/>
        </w:rPr>
        <w:separator/>
      </w:r>
    </w:p>
  </w:footnote>
  <w:footnote w:type="continuationSeparator" w:id="0">
    <w:p w14:paraId="68CD4CAC" w14:textId="77777777" w:rsidR="006379EA" w:rsidRDefault="006379EA">
      <w:pPr>
        <w:spacing w:after="0" w:line="240" w:lineRule="auto"/>
      </w:pPr>
      <w:r>
        <w:continuationSeparator/>
      </w:r>
    </w:p>
  </w:footnote>
  <w:footnote w:type="continuationNotice" w:id="1">
    <w:p w14:paraId="44D46F4E" w14:textId="77777777" w:rsidR="006379EA" w:rsidRDefault="006379E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a3VHw2yZLxdfA" int2:id="T5cT6qZf">
      <int2:state int2:value="Rejected" int2:type="LegacyProofing"/>
    </int2:textHash>
    <int2:bookmark int2:bookmarkName="_Int_iXXTWcTo" int2:invalidationBookmarkName="" int2:hashCode="/v4jk6f8jq/G8V" int2:id="Zl9Mj88P">
      <int2:state int2:value="Rejected" int2:type="LegacyProofing"/>
    </int2:bookmark>
    <int2:bookmark int2:bookmarkName="_Int_vFTLhrWq" int2:invalidationBookmarkName="" int2:hashCode="6tzZvSoJx1rvBJ" int2:id="yvwjAb8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7ADD"/>
    <w:multiLevelType w:val="hybridMultilevel"/>
    <w:tmpl w:val="E3224D10"/>
    <w:lvl w:ilvl="0" w:tplc="D1C2A254">
      <w:start w:val="1"/>
      <w:numFmt w:val="bullet"/>
      <w:lvlText w:val=""/>
      <w:lvlJc w:val="left"/>
      <w:pPr>
        <w:ind w:left="720" w:hanging="360"/>
      </w:pPr>
      <w:rPr>
        <w:rFonts w:ascii="Symbol" w:hAnsi="Symbol" w:hint="default"/>
      </w:rPr>
    </w:lvl>
    <w:lvl w:ilvl="1" w:tplc="228012B2">
      <w:start w:val="1"/>
      <w:numFmt w:val="bullet"/>
      <w:lvlText w:val="o"/>
      <w:lvlJc w:val="left"/>
      <w:pPr>
        <w:ind w:left="1440" w:hanging="360"/>
      </w:pPr>
      <w:rPr>
        <w:rFonts w:ascii="Courier New" w:hAnsi="Courier New" w:hint="default"/>
      </w:rPr>
    </w:lvl>
    <w:lvl w:ilvl="2" w:tplc="AEFEE694">
      <w:start w:val="1"/>
      <w:numFmt w:val="bullet"/>
      <w:lvlText w:val=""/>
      <w:lvlJc w:val="left"/>
      <w:pPr>
        <w:ind w:left="2160" w:hanging="360"/>
      </w:pPr>
      <w:rPr>
        <w:rFonts w:ascii="Wingdings" w:hAnsi="Wingdings" w:hint="default"/>
      </w:rPr>
    </w:lvl>
    <w:lvl w:ilvl="3" w:tplc="3BA0BDC6">
      <w:start w:val="1"/>
      <w:numFmt w:val="bullet"/>
      <w:lvlText w:val=""/>
      <w:lvlJc w:val="left"/>
      <w:pPr>
        <w:ind w:left="2880" w:hanging="360"/>
      </w:pPr>
      <w:rPr>
        <w:rFonts w:ascii="Symbol" w:hAnsi="Symbol" w:hint="default"/>
      </w:rPr>
    </w:lvl>
    <w:lvl w:ilvl="4" w:tplc="0242FD6E">
      <w:start w:val="1"/>
      <w:numFmt w:val="bullet"/>
      <w:lvlText w:val="o"/>
      <w:lvlJc w:val="left"/>
      <w:pPr>
        <w:ind w:left="3600" w:hanging="360"/>
      </w:pPr>
      <w:rPr>
        <w:rFonts w:ascii="Courier New" w:hAnsi="Courier New" w:hint="default"/>
      </w:rPr>
    </w:lvl>
    <w:lvl w:ilvl="5" w:tplc="F2BE2E80">
      <w:start w:val="1"/>
      <w:numFmt w:val="bullet"/>
      <w:lvlText w:val=""/>
      <w:lvlJc w:val="left"/>
      <w:pPr>
        <w:ind w:left="4320" w:hanging="360"/>
      </w:pPr>
      <w:rPr>
        <w:rFonts w:ascii="Wingdings" w:hAnsi="Wingdings" w:hint="default"/>
      </w:rPr>
    </w:lvl>
    <w:lvl w:ilvl="6" w:tplc="6D3C2AC8">
      <w:start w:val="1"/>
      <w:numFmt w:val="bullet"/>
      <w:lvlText w:val=""/>
      <w:lvlJc w:val="left"/>
      <w:pPr>
        <w:ind w:left="5040" w:hanging="360"/>
      </w:pPr>
      <w:rPr>
        <w:rFonts w:ascii="Symbol" w:hAnsi="Symbol" w:hint="default"/>
      </w:rPr>
    </w:lvl>
    <w:lvl w:ilvl="7" w:tplc="A2807E84">
      <w:start w:val="1"/>
      <w:numFmt w:val="bullet"/>
      <w:lvlText w:val="o"/>
      <w:lvlJc w:val="left"/>
      <w:pPr>
        <w:ind w:left="5760" w:hanging="360"/>
      </w:pPr>
      <w:rPr>
        <w:rFonts w:ascii="Courier New" w:hAnsi="Courier New" w:hint="default"/>
      </w:rPr>
    </w:lvl>
    <w:lvl w:ilvl="8" w:tplc="EB64168C">
      <w:start w:val="1"/>
      <w:numFmt w:val="bullet"/>
      <w:lvlText w:val=""/>
      <w:lvlJc w:val="left"/>
      <w:pPr>
        <w:ind w:left="6480" w:hanging="360"/>
      </w:pPr>
      <w:rPr>
        <w:rFonts w:ascii="Wingdings" w:hAnsi="Wingdings" w:hint="default"/>
      </w:rPr>
    </w:lvl>
  </w:abstractNum>
  <w:abstractNum w:abstractNumId="1" w15:restartNumberingAfterBreak="0">
    <w:nsid w:val="0A3003FC"/>
    <w:multiLevelType w:val="hybridMultilevel"/>
    <w:tmpl w:val="3010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21695"/>
    <w:multiLevelType w:val="hybridMultilevel"/>
    <w:tmpl w:val="132E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B479A7"/>
    <w:multiLevelType w:val="hybridMultilevel"/>
    <w:tmpl w:val="BB567ECC"/>
    <w:lvl w:ilvl="0" w:tplc="36F6C662">
      <w:start w:val="1"/>
      <w:numFmt w:val="bullet"/>
      <w:lvlText w:val=""/>
      <w:lvlJc w:val="left"/>
      <w:pPr>
        <w:ind w:left="360" w:hanging="360"/>
      </w:pPr>
      <w:rPr>
        <w:rFonts w:ascii="Symbol" w:hAnsi="Symbol" w:hint="default"/>
      </w:rPr>
    </w:lvl>
    <w:lvl w:ilvl="1" w:tplc="238047F6">
      <w:start w:val="1"/>
      <w:numFmt w:val="bullet"/>
      <w:lvlText w:val="o"/>
      <w:lvlJc w:val="left"/>
      <w:pPr>
        <w:ind w:left="1080" w:hanging="360"/>
      </w:pPr>
      <w:rPr>
        <w:rFonts w:ascii="Courier New" w:hAnsi="Courier New" w:hint="default"/>
      </w:rPr>
    </w:lvl>
    <w:lvl w:ilvl="2" w:tplc="388473A6">
      <w:start w:val="1"/>
      <w:numFmt w:val="bullet"/>
      <w:lvlText w:val=""/>
      <w:lvlJc w:val="left"/>
      <w:pPr>
        <w:ind w:left="1800" w:hanging="360"/>
      </w:pPr>
      <w:rPr>
        <w:rFonts w:ascii="Wingdings" w:hAnsi="Wingdings" w:hint="default"/>
      </w:rPr>
    </w:lvl>
    <w:lvl w:ilvl="3" w:tplc="16F2C496">
      <w:start w:val="1"/>
      <w:numFmt w:val="bullet"/>
      <w:lvlText w:val=""/>
      <w:lvlJc w:val="left"/>
      <w:pPr>
        <w:ind w:left="2520" w:hanging="360"/>
      </w:pPr>
      <w:rPr>
        <w:rFonts w:ascii="Symbol" w:hAnsi="Symbol" w:hint="default"/>
      </w:rPr>
    </w:lvl>
    <w:lvl w:ilvl="4" w:tplc="4914D6EC">
      <w:start w:val="1"/>
      <w:numFmt w:val="bullet"/>
      <w:lvlText w:val="o"/>
      <w:lvlJc w:val="left"/>
      <w:pPr>
        <w:ind w:left="3240" w:hanging="360"/>
      </w:pPr>
      <w:rPr>
        <w:rFonts w:ascii="Courier New" w:hAnsi="Courier New" w:hint="default"/>
      </w:rPr>
    </w:lvl>
    <w:lvl w:ilvl="5" w:tplc="B8EA6E36">
      <w:start w:val="1"/>
      <w:numFmt w:val="bullet"/>
      <w:lvlText w:val=""/>
      <w:lvlJc w:val="left"/>
      <w:pPr>
        <w:ind w:left="3960" w:hanging="360"/>
      </w:pPr>
      <w:rPr>
        <w:rFonts w:ascii="Wingdings" w:hAnsi="Wingdings" w:hint="default"/>
      </w:rPr>
    </w:lvl>
    <w:lvl w:ilvl="6" w:tplc="8AC41BF4">
      <w:start w:val="1"/>
      <w:numFmt w:val="bullet"/>
      <w:lvlText w:val=""/>
      <w:lvlJc w:val="left"/>
      <w:pPr>
        <w:ind w:left="4680" w:hanging="360"/>
      </w:pPr>
      <w:rPr>
        <w:rFonts w:ascii="Symbol" w:hAnsi="Symbol" w:hint="default"/>
      </w:rPr>
    </w:lvl>
    <w:lvl w:ilvl="7" w:tplc="D0FCD8DA">
      <w:start w:val="1"/>
      <w:numFmt w:val="bullet"/>
      <w:lvlText w:val="o"/>
      <w:lvlJc w:val="left"/>
      <w:pPr>
        <w:ind w:left="5400" w:hanging="360"/>
      </w:pPr>
      <w:rPr>
        <w:rFonts w:ascii="Courier New" w:hAnsi="Courier New" w:hint="default"/>
      </w:rPr>
    </w:lvl>
    <w:lvl w:ilvl="8" w:tplc="A4C0F1A6">
      <w:start w:val="1"/>
      <w:numFmt w:val="bullet"/>
      <w:lvlText w:val=""/>
      <w:lvlJc w:val="left"/>
      <w:pPr>
        <w:ind w:left="6120" w:hanging="360"/>
      </w:pPr>
      <w:rPr>
        <w:rFonts w:ascii="Wingdings" w:hAnsi="Wingdings" w:hint="default"/>
      </w:rPr>
    </w:lvl>
  </w:abstractNum>
  <w:abstractNum w:abstractNumId="4" w15:restartNumberingAfterBreak="0">
    <w:nsid w:val="2A2761BB"/>
    <w:multiLevelType w:val="multilevel"/>
    <w:tmpl w:val="AC26A836"/>
    <w:lvl w:ilvl="0">
      <w:start w:val="1"/>
      <w:numFmt w:val="decimal"/>
      <w:lvlText w:val="%1."/>
      <w:lvlJc w:val="left"/>
      <w:pPr>
        <w:ind w:left="720" w:hanging="720"/>
      </w:pPr>
      <w:rPr>
        <w:rFonts w:ascii="Calibri" w:hAnsi="Calibri" w:hint="default"/>
        <w:b/>
        <w:i w:val="0"/>
        <w:color w:val="auto"/>
        <w:sz w:val="28"/>
      </w:rPr>
    </w:lvl>
    <w:lvl w:ilvl="1">
      <w:start w:val="1"/>
      <w:numFmt w:val="decimal"/>
      <w:lvlText w:val="%1.%2"/>
      <w:lvlJc w:val="left"/>
      <w:pPr>
        <w:ind w:left="720" w:hanging="720"/>
      </w:pPr>
      <w:rPr>
        <w:rFonts w:ascii="Calibri" w:hAnsi="Calibri" w:hint="default"/>
        <w:b w:val="0"/>
        <w:i w:val="0"/>
        <w:color w:val="auto"/>
        <w:sz w:val="24"/>
      </w:rPr>
    </w:lvl>
    <w:lvl w:ilvl="2">
      <w:start w:val="1"/>
      <w:numFmt w:val="lowerLetter"/>
      <w:lvlText w:val="%3)"/>
      <w:lvlJc w:val="left"/>
      <w:pPr>
        <w:tabs>
          <w:tab w:val="num" w:pos="1588"/>
        </w:tabs>
        <w:ind w:left="1588" w:hanging="454"/>
      </w:pPr>
      <w:rPr>
        <w:rFonts w:ascii="Calibri" w:hAnsi="Calibri" w:hint="default"/>
        <w:color w:val="auto"/>
        <w:sz w:val="24"/>
      </w:rPr>
    </w:lvl>
    <w:lvl w:ilvl="3">
      <w:start w:val="1"/>
      <w:numFmt w:val="lowerRoman"/>
      <w:lvlText w:val="%4."/>
      <w:lvlJc w:val="left"/>
      <w:pPr>
        <w:tabs>
          <w:tab w:val="num" w:pos="2268"/>
        </w:tabs>
        <w:ind w:left="2268" w:hanging="680"/>
      </w:pPr>
      <w:rPr>
        <w:rFonts w:hint="default"/>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5" w15:restartNumberingAfterBreak="0">
    <w:nsid w:val="3083464E"/>
    <w:multiLevelType w:val="multilevel"/>
    <w:tmpl w:val="46348B92"/>
    <w:lvl w:ilvl="0">
      <w:start w:val="1"/>
      <w:numFmt w:val="decimal"/>
      <w:lvlText w:val="%1."/>
      <w:lvlJc w:val="left"/>
      <w:pPr>
        <w:ind w:left="720" w:hanging="720"/>
      </w:pPr>
      <w:rPr>
        <w:rFonts w:ascii="Calibri" w:hAnsi="Calibri" w:hint="default"/>
        <w:b/>
        <w:i w:val="0"/>
        <w:color w:val="auto"/>
        <w:sz w:val="28"/>
      </w:rPr>
    </w:lvl>
    <w:lvl w:ilvl="1">
      <w:start w:val="1"/>
      <w:numFmt w:val="decimal"/>
      <w:lvlText w:val="%1.%2"/>
      <w:lvlJc w:val="left"/>
      <w:pPr>
        <w:ind w:left="720" w:hanging="720"/>
      </w:pPr>
      <w:rPr>
        <w:rFonts w:ascii="Calibri" w:hAnsi="Calibri" w:hint="default"/>
        <w:b w:val="0"/>
        <w:i w:val="0"/>
        <w:color w:val="auto"/>
        <w:sz w:val="24"/>
      </w:rPr>
    </w:lvl>
    <w:lvl w:ilvl="2">
      <w:start w:val="1"/>
      <w:numFmt w:val="lowerLetter"/>
      <w:lvlText w:val="%3)"/>
      <w:lvlJc w:val="left"/>
      <w:pPr>
        <w:tabs>
          <w:tab w:val="num" w:pos="1588"/>
        </w:tabs>
        <w:ind w:left="1588" w:hanging="454"/>
      </w:pPr>
      <w:rPr>
        <w:color w:val="auto"/>
        <w:sz w:val="24"/>
      </w:rPr>
    </w:lvl>
    <w:lvl w:ilvl="3">
      <w:start w:val="1"/>
      <w:numFmt w:val="lowerRoman"/>
      <w:lvlText w:val="%4."/>
      <w:lvlJc w:val="left"/>
      <w:pPr>
        <w:tabs>
          <w:tab w:val="num" w:pos="2268"/>
        </w:tabs>
        <w:ind w:left="2268" w:hanging="680"/>
      </w:pPr>
      <w:rPr>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6" w15:restartNumberingAfterBreak="0">
    <w:nsid w:val="30E044D5"/>
    <w:multiLevelType w:val="multilevel"/>
    <w:tmpl w:val="9EC0A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935D29"/>
    <w:multiLevelType w:val="hybridMultilevel"/>
    <w:tmpl w:val="A3323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120DA"/>
    <w:multiLevelType w:val="hybridMultilevel"/>
    <w:tmpl w:val="16808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3317CB"/>
    <w:multiLevelType w:val="hybridMultilevel"/>
    <w:tmpl w:val="10281EC6"/>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CC8C151"/>
    <w:multiLevelType w:val="hybridMultilevel"/>
    <w:tmpl w:val="FFFFFFFF"/>
    <w:lvl w:ilvl="0" w:tplc="BB2C1DB6">
      <w:start w:val="1"/>
      <w:numFmt w:val="bullet"/>
      <w:lvlText w:val=""/>
      <w:lvlJc w:val="left"/>
      <w:pPr>
        <w:ind w:left="720" w:hanging="360"/>
      </w:pPr>
      <w:rPr>
        <w:rFonts w:ascii="Symbol" w:hAnsi="Symbol" w:hint="default"/>
      </w:rPr>
    </w:lvl>
    <w:lvl w:ilvl="1" w:tplc="52E21206">
      <w:start w:val="1"/>
      <w:numFmt w:val="bullet"/>
      <w:lvlText w:val="o"/>
      <w:lvlJc w:val="left"/>
      <w:pPr>
        <w:ind w:left="1440" w:hanging="360"/>
      </w:pPr>
      <w:rPr>
        <w:rFonts w:ascii="Courier New" w:hAnsi="Courier New" w:hint="default"/>
      </w:rPr>
    </w:lvl>
    <w:lvl w:ilvl="2" w:tplc="B5D4F496">
      <w:start w:val="1"/>
      <w:numFmt w:val="bullet"/>
      <w:lvlText w:val=""/>
      <w:lvlJc w:val="left"/>
      <w:pPr>
        <w:ind w:left="2160" w:hanging="360"/>
      </w:pPr>
      <w:rPr>
        <w:rFonts w:ascii="Wingdings" w:hAnsi="Wingdings" w:hint="default"/>
      </w:rPr>
    </w:lvl>
    <w:lvl w:ilvl="3" w:tplc="B37ABDBE">
      <w:start w:val="1"/>
      <w:numFmt w:val="bullet"/>
      <w:lvlText w:val=""/>
      <w:lvlJc w:val="left"/>
      <w:pPr>
        <w:ind w:left="2880" w:hanging="360"/>
      </w:pPr>
      <w:rPr>
        <w:rFonts w:ascii="Symbol" w:hAnsi="Symbol" w:hint="default"/>
      </w:rPr>
    </w:lvl>
    <w:lvl w:ilvl="4" w:tplc="CBCA78AC">
      <w:start w:val="1"/>
      <w:numFmt w:val="bullet"/>
      <w:lvlText w:val="o"/>
      <w:lvlJc w:val="left"/>
      <w:pPr>
        <w:ind w:left="3600" w:hanging="360"/>
      </w:pPr>
      <w:rPr>
        <w:rFonts w:ascii="Courier New" w:hAnsi="Courier New" w:hint="default"/>
      </w:rPr>
    </w:lvl>
    <w:lvl w:ilvl="5" w:tplc="DFA09346">
      <w:start w:val="1"/>
      <w:numFmt w:val="bullet"/>
      <w:lvlText w:val=""/>
      <w:lvlJc w:val="left"/>
      <w:pPr>
        <w:ind w:left="4320" w:hanging="360"/>
      </w:pPr>
      <w:rPr>
        <w:rFonts w:ascii="Wingdings" w:hAnsi="Wingdings" w:hint="default"/>
      </w:rPr>
    </w:lvl>
    <w:lvl w:ilvl="6" w:tplc="7226B23C">
      <w:start w:val="1"/>
      <w:numFmt w:val="bullet"/>
      <w:lvlText w:val=""/>
      <w:lvlJc w:val="left"/>
      <w:pPr>
        <w:ind w:left="5040" w:hanging="360"/>
      </w:pPr>
      <w:rPr>
        <w:rFonts w:ascii="Symbol" w:hAnsi="Symbol" w:hint="default"/>
      </w:rPr>
    </w:lvl>
    <w:lvl w:ilvl="7" w:tplc="2396994C">
      <w:start w:val="1"/>
      <w:numFmt w:val="bullet"/>
      <w:lvlText w:val="o"/>
      <w:lvlJc w:val="left"/>
      <w:pPr>
        <w:ind w:left="5760" w:hanging="360"/>
      </w:pPr>
      <w:rPr>
        <w:rFonts w:ascii="Courier New" w:hAnsi="Courier New" w:hint="default"/>
      </w:rPr>
    </w:lvl>
    <w:lvl w:ilvl="8" w:tplc="712E84AA">
      <w:start w:val="1"/>
      <w:numFmt w:val="bullet"/>
      <w:lvlText w:val=""/>
      <w:lvlJc w:val="left"/>
      <w:pPr>
        <w:ind w:left="6480" w:hanging="360"/>
      </w:pPr>
      <w:rPr>
        <w:rFonts w:ascii="Wingdings" w:hAnsi="Wingdings" w:hint="default"/>
      </w:rPr>
    </w:lvl>
  </w:abstractNum>
  <w:abstractNum w:abstractNumId="11" w15:restartNumberingAfterBreak="0">
    <w:nsid w:val="4E1C549F"/>
    <w:multiLevelType w:val="multilevel"/>
    <w:tmpl w:val="475E4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227052"/>
    <w:multiLevelType w:val="hybridMultilevel"/>
    <w:tmpl w:val="9AD6A130"/>
    <w:lvl w:ilvl="0" w:tplc="38BCCDC8">
      <w:start w:val="1"/>
      <w:numFmt w:val="bullet"/>
      <w:lvlText w:val="•"/>
      <w:lvlJc w:val="left"/>
      <w:pPr>
        <w:tabs>
          <w:tab w:val="num" w:pos="720"/>
        </w:tabs>
        <w:ind w:left="720" w:hanging="360"/>
      </w:pPr>
      <w:rPr>
        <w:rFonts w:ascii="Arial" w:hAnsi="Arial" w:hint="default"/>
      </w:rPr>
    </w:lvl>
    <w:lvl w:ilvl="1" w:tplc="2E062A5A" w:tentative="1">
      <w:start w:val="1"/>
      <w:numFmt w:val="bullet"/>
      <w:lvlText w:val="•"/>
      <w:lvlJc w:val="left"/>
      <w:pPr>
        <w:tabs>
          <w:tab w:val="num" w:pos="1440"/>
        </w:tabs>
        <w:ind w:left="1440" w:hanging="360"/>
      </w:pPr>
      <w:rPr>
        <w:rFonts w:ascii="Arial" w:hAnsi="Arial" w:hint="default"/>
      </w:rPr>
    </w:lvl>
    <w:lvl w:ilvl="2" w:tplc="456E1B92" w:tentative="1">
      <w:start w:val="1"/>
      <w:numFmt w:val="bullet"/>
      <w:lvlText w:val="•"/>
      <w:lvlJc w:val="left"/>
      <w:pPr>
        <w:tabs>
          <w:tab w:val="num" w:pos="2160"/>
        </w:tabs>
        <w:ind w:left="2160" w:hanging="360"/>
      </w:pPr>
      <w:rPr>
        <w:rFonts w:ascii="Arial" w:hAnsi="Arial" w:hint="default"/>
      </w:rPr>
    </w:lvl>
    <w:lvl w:ilvl="3" w:tplc="1F9C14C6" w:tentative="1">
      <w:start w:val="1"/>
      <w:numFmt w:val="bullet"/>
      <w:lvlText w:val="•"/>
      <w:lvlJc w:val="left"/>
      <w:pPr>
        <w:tabs>
          <w:tab w:val="num" w:pos="2880"/>
        </w:tabs>
        <w:ind w:left="2880" w:hanging="360"/>
      </w:pPr>
      <w:rPr>
        <w:rFonts w:ascii="Arial" w:hAnsi="Arial" w:hint="default"/>
      </w:rPr>
    </w:lvl>
    <w:lvl w:ilvl="4" w:tplc="5EBA6B4C" w:tentative="1">
      <w:start w:val="1"/>
      <w:numFmt w:val="bullet"/>
      <w:lvlText w:val="•"/>
      <w:lvlJc w:val="left"/>
      <w:pPr>
        <w:tabs>
          <w:tab w:val="num" w:pos="3600"/>
        </w:tabs>
        <w:ind w:left="3600" w:hanging="360"/>
      </w:pPr>
      <w:rPr>
        <w:rFonts w:ascii="Arial" w:hAnsi="Arial" w:hint="default"/>
      </w:rPr>
    </w:lvl>
    <w:lvl w:ilvl="5" w:tplc="A8266CD0" w:tentative="1">
      <w:start w:val="1"/>
      <w:numFmt w:val="bullet"/>
      <w:lvlText w:val="•"/>
      <w:lvlJc w:val="left"/>
      <w:pPr>
        <w:tabs>
          <w:tab w:val="num" w:pos="4320"/>
        </w:tabs>
        <w:ind w:left="4320" w:hanging="360"/>
      </w:pPr>
      <w:rPr>
        <w:rFonts w:ascii="Arial" w:hAnsi="Arial" w:hint="default"/>
      </w:rPr>
    </w:lvl>
    <w:lvl w:ilvl="6" w:tplc="E558F9D0" w:tentative="1">
      <w:start w:val="1"/>
      <w:numFmt w:val="bullet"/>
      <w:lvlText w:val="•"/>
      <w:lvlJc w:val="left"/>
      <w:pPr>
        <w:tabs>
          <w:tab w:val="num" w:pos="5040"/>
        </w:tabs>
        <w:ind w:left="5040" w:hanging="360"/>
      </w:pPr>
      <w:rPr>
        <w:rFonts w:ascii="Arial" w:hAnsi="Arial" w:hint="default"/>
      </w:rPr>
    </w:lvl>
    <w:lvl w:ilvl="7" w:tplc="4A7832A2" w:tentative="1">
      <w:start w:val="1"/>
      <w:numFmt w:val="bullet"/>
      <w:lvlText w:val="•"/>
      <w:lvlJc w:val="left"/>
      <w:pPr>
        <w:tabs>
          <w:tab w:val="num" w:pos="5760"/>
        </w:tabs>
        <w:ind w:left="5760" w:hanging="360"/>
      </w:pPr>
      <w:rPr>
        <w:rFonts w:ascii="Arial" w:hAnsi="Arial" w:hint="default"/>
      </w:rPr>
    </w:lvl>
    <w:lvl w:ilvl="8" w:tplc="B9407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40522D"/>
    <w:multiLevelType w:val="multilevel"/>
    <w:tmpl w:val="9D38DA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B7D2394"/>
    <w:multiLevelType w:val="multilevel"/>
    <w:tmpl w:val="40764B7A"/>
    <w:lvl w:ilvl="0">
      <w:start w:val="1"/>
      <w:numFmt w:val="decimal"/>
      <w:lvlText w:val="%1."/>
      <w:lvlJc w:val="left"/>
      <w:pPr>
        <w:ind w:left="720" w:hanging="720"/>
      </w:pPr>
      <w:rPr>
        <w:rFonts w:ascii="Calibri" w:hAnsi="Calibri" w:cs="Times New Roman" w:hint="default"/>
        <w:b/>
        <w:i w:val="0"/>
        <w:color w:val="auto"/>
        <w:sz w:val="28"/>
      </w:rPr>
    </w:lvl>
    <w:lvl w:ilvl="1">
      <w:start w:val="1"/>
      <w:numFmt w:val="bullet"/>
      <w:lvlText w:val=""/>
      <w:lvlJc w:val="left"/>
      <w:pPr>
        <w:ind w:left="720" w:hanging="720"/>
      </w:pPr>
      <w:rPr>
        <w:rFonts w:ascii="Symbol" w:hAnsi="Symbol" w:hint="default"/>
        <w:b w:val="0"/>
        <w:i w:val="0"/>
        <w:color w:val="auto"/>
        <w:sz w:val="24"/>
      </w:rPr>
    </w:lvl>
    <w:lvl w:ilvl="2">
      <w:start w:val="1"/>
      <w:numFmt w:val="bullet"/>
      <w:lvlText w:val=""/>
      <w:lvlJc w:val="left"/>
      <w:pPr>
        <w:tabs>
          <w:tab w:val="num" w:pos="1588"/>
        </w:tabs>
        <w:ind w:left="1588" w:hanging="454"/>
      </w:pPr>
      <w:rPr>
        <w:rFonts w:ascii="Symbol" w:hAnsi="Symbol" w:hint="default"/>
        <w:color w:val="auto"/>
        <w:sz w:val="24"/>
      </w:rPr>
    </w:lvl>
    <w:lvl w:ilvl="3">
      <w:start w:val="1"/>
      <w:numFmt w:val="lowerRoman"/>
      <w:lvlText w:val="%4."/>
      <w:lvlJc w:val="left"/>
      <w:pPr>
        <w:tabs>
          <w:tab w:val="num" w:pos="2268"/>
        </w:tabs>
        <w:ind w:left="2268" w:hanging="680"/>
      </w:pPr>
      <w:rPr>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15" w15:restartNumberingAfterBreak="0">
    <w:nsid w:val="71A46AE2"/>
    <w:multiLevelType w:val="multilevel"/>
    <w:tmpl w:val="48625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B4853E0"/>
    <w:multiLevelType w:val="multilevel"/>
    <w:tmpl w:val="F97A4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7062137">
    <w:abstractNumId w:val="10"/>
  </w:num>
  <w:num w:numId="2" w16cid:durableId="898128746">
    <w:abstractNumId w:val="0"/>
  </w:num>
  <w:num w:numId="3" w16cid:durableId="869534676">
    <w:abstractNumId w:val="3"/>
  </w:num>
  <w:num w:numId="4" w16cid:durableId="425924084">
    <w:abstractNumId w:val="16"/>
  </w:num>
  <w:num w:numId="5" w16cid:durableId="606355942">
    <w:abstractNumId w:val="15"/>
  </w:num>
  <w:num w:numId="6" w16cid:durableId="238489632">
    <w:abstractNumId w:val="13"/>
  </w:num>
  <w:num w:numId="7" w16cid:durableId="2108041959">
    <w:abstractNumId w:val="6"/>
  </w:num>
  <w:num w:numId="8" w16cid:durableId="2018536946">
    <w:abstractNumId w:val="11"/>
  </w:num>
  <w:num w:numId="9" w16cid:durableId="250553493">
    <w:abstractNumId w:val="5"/>
  </w:num>
  <w:num w:numId="10" w16cid:durableId="1534267056">
    <w:abstractNumId w:val="4"/>
  </w:num>
  <w:num w:numId="11" w16cid:durableId="2135900634">
    <w:abstractNumId w:val="8"/>
  </w:num>
  <w:num w:numId="12" w16cid:durableId="797333347">
    <w:abstractNumId w:val="3"/>
  </w:num>
  <w:num w:numId="13" w16cid:durableId="1098479103">
    <w:abstractNumId w:val="9"/>
  </w:num>
  <w:num w:numId="14" w16cid:durableId="621497087">
    <w:abstractNumId w:val="9"/>
  </w:num>
  <w:num w:numId="15" w16cid:durableId="1082217835">
    <w:abstractNumId w:val="7"/>
  </w:num>
  <w:num w:numId="16" w16cid:durableId="153138228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16cid:durableId="768618273">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18" w16cid:durableId="655645882">
    <w:abstractNumId w:val="2"/>
  </w:num>
  <w:num w:numId="19" w16cid:durableId="1409576627">
    <w:abstractNumId w:val="1"/>
  </w:num>
  <w:num w:numId="20" w16cid:durableId="15041306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CB"/>
    <w:rsid w:val="00003A7C"/>
    <w:rsid w:val="00006E0C"/>
    <w:rsid w:val="0001322E"/>
    <w:rsid w:val="000141CB"/>
    <w:rsid w:val="000147F9"/>
    <w:rsid w:val="00015D67"/>
    <w:rsid w:val="00020694"/>
    <w:rsid w:val="00025E67"/>
    <w:rsid w:val="00030C92"/>
    <w:rsid w:val="00032A85"/>
    <w:rsid w:val="00036E3C"/>
    <w:rsid w:val="00040CBE"/>
    <w:rsid w:val="000428BC"/>
    <w:rsid w:val="00042D1B"/>
    <w:rsid w:val="0004428D"/>
    <w:rsid w:val="000444EE"/>
    <w:rsid w:val="00044F40"/>
    <w:rsid w:val="00047219"/>
    <w:rsid w:val="00050DE6"/>
    <w:rsid w:val="00051EF9"/>
    <w:rsid w:val="0005299B"/>
    <w:rsid w:val="00053CF1"/>
    <w:rsid w:val="0005595E"/>
    <w:rsid w:val="00057064"/>
    <w:rsid w:val="00062761"/>
    <w:rsid w:val="00064B1B"/>
    <w:rsid w:val="00065E32"/>
    <w:rsid w:val="000677FF"/>
    <w:rsid w:val="00071694"/>
    <w:rsid w:val="00072ED2"/>
    <w:rsid w:val="00073B44"/>
    <w:rsid w:val="00074546"/>
    <w:rsid w:val="00074F26"/>
    <w:rsid w:val="00075146"/>
    <w:rsid w:val="00080199"/>
    <w:rsid w:val="00081F68"/>
    <w:rsid w:val="000821E6"/>
    <w:rsid w:val="00082EB0"/>
    <w:rsid w:val="00084FF9"/>
    <w:rsid w:val="000879D1"/>
    <w:rsid w:val="00094BA2"/>
    <w:rsid w:val="0009695E"/>
    <w:rsid w:val="0009702F"/>
    <w:rsid w:val="000A0084"/>
    <w:rsid w:val="000A17E0"/>
    <w:rsid w:val="000A5783"/>
    <w:rsid w:val="000A62DE"/>
    <w:rsid w:val="000B0AFE"/>
    <w:rsid w:val="000B15E7"/>
    <w:rsid w:val="000B1FB7"/>
    <w:rsid w:val="000B27B8"/>
    <w:rsid w:val="000B3572"/>
    <w:rsid w:val="000B52EE"/>
    <w:rsid w:val="000B5EA6"/>
    <w:rsid w:val="000B6313"/>
    <w:rsid w:val="000C161C"/>
    <w:rsid w:val="000C4DE5"/>
    <w:rsid w:val="000C619A"/>
    <w:rsid w:val="000D3124"/>
    <w:rsid w:val="000D4BAA"/>
    <w:rsid w:val="000E0730"/>
    <w:rsid w:val="000E1247"/>
    <w:rsid w:val="000E1A0D"/>
    <w:rsid w:val="000E26CA"/>
    <w:rsid w:val="000E37B5"/>
    <w:rsid w:val="000E486F"/>
    <w:rsid w:val="000E5054"/>
    <w:rsid w:val="000E5656"/>
    <w:rsid w:val="000E5A5D"/>
    <w:rsid w:val="000E68EA"/>
    <w:rsid w:val="000E6CA2"/>
    <w:rsid w:val="000E7CA5"/>
    <w:rsid w:val="000F23B6"/>
    <w:rsid w:val="000F2764"/>
    <w:rsid w:val="000F47A5"/>
    <w:rsid w:val="000F545C"/>
    <w:rsid w:val="00100B11"/>
    <w:rsid w:val="00102FB4"/>
    <w:rsid w:val="0010397D"/>
    <w:rsid w:val="00110231"/>
    <w:rsid w:val="001116F2"/>
    <w:rsid w:val="00117946"/>
    <w:rsid w:val="00122EEC"/>
    <w:rsid w:val="00125967"/>
    <w:rsid w:val="001277E1"/>
    <w:rsid w:val="00131A35"/>
    <w:rsid w:val="00131D08"/>
    <w:rsid w:val="00135902"/>
    <w:rsid w:val="00137684"/>
    <w:rsid w:val="00143D00"/>
    <w:rsid w:val="00144461"/>
    <w:rsid w:val="00152E03"/>
    <w:rsid w:val="001538FA"/>
    <w:rsid w:val="00153D0F"/>
    <w:rsid w:val="001632C7"/>
    <w:rsid w:val="00163DB8"/>
    <w:rsid w:val="00172202"/>
    <w:rsid w:val="001727E1"/>
    <w:rsid w:val="00174444"/>
    <w:rsid w:val="0017467D"/>
    <w:rsid w:val="00180057"/>
    <w:rsid w:val="00181D94"/>
    <w:rsid w:val="00183DCB"/>
    <w:rsid w:val="00185492"/>
    <w:rsid w:val="00195CB9"/>
    <w:rsid w:val="001962EF"/>
    <w:rsid w:val="001A09FC"/>
    <w:rsid w:val="001A2A83"/>
    <w:rsid w:val="001A5122"/>
    <w:rsid w:val="001A56BB"/>
    <w:rsid w:val="001A7283"/>
    <w:rsid w:val="001B011A"/>
    <w:rsid w:val="001B1820"/>
    <w:rsid w:val="001B2968"/>
    <w:rsid w:val="001B5AD7"/>
    <w:rsid w:val="001B6D32"/>
    <w:rsid w:val="001C024B"/>
    <w:rsid w:val="001C372C"/>
    <w:rsid w:val="001C44BA"/>
    <w:rsid w:val="001C45E3"/>
    <w:rsid w:val="001C4979"/>
    <w:rsid w:val="001C7F70"/>
    <w:rsid w:val="001D0C03"/>
    <w:rsid w:val="001D140E"/>
    <w:rsid w:val="001D49D3"/>
    <w:rsid w:val="001D5D87"/>
    <w:rsid w:val="001D6C6B"/>
    <w:rsid w:val="001D7835"/>
    <w:rsid w:val="001D7D33"/>
    <w:rsid w:val="001E6A1A"/>
    <w:rsid w:val="001F0BF5"/>
    <w:rsid w:val="001F18F6"/>
    <w:rsid w:val="001F2E89"/>
    <w:rsid w:val="001F430A"/>
    <w:rsid w:val="001F4E35"/>
    <w:rsid w:val="001F7074"/>
    <w:rsid w:val="001F78B3"/>
    <w:rsid w:val="0020019C"/>
    <w:rsid w:val="0020059E"/>
    <w:rsid w:val="00201C95"/>
    <w:rsid w:val="00210BB0"/>
    <w:rsid w:val="00211573"/>
    <w:rsid w:val="00211D70"/>
    <w:rsid w:val="002122D2"/>
    <w:rsid w:val="00214B5A"/>
    <w:rsid w:val="00220268"/>
    <w:rsid w:val="002210A3"/>
    <w:rsid w:val="0022765F"/>
    <w:rsid w:val="002339C0"/>
    <w:rsid w:val="00233E9E"/>
    <w:rsid w:val="00234E89"/>
    <w:rsid w:val="00236467"/>
    <w:rsid w:val="00237277"/>
    <w:rsid w:val="00240F1A"/>
    <w:rsid w:val="00242D7B"/>
    <w:rsid w:val="002433B9"/>
    <w:rsid w:val="00244C23"/>
    <w:rsid w:val="0024762D"/>
    <w:rsid w:val="00250940"/>
    <w:rsid w:val="00250C05"/>
    <w:rsid w:val="0025182E"/>
    <w:rsid w:val="00254461"/>
    <w:rsid w:val="0025469B"/>
    <w:rsid w:val="00255953"/>
    <w:rsid w:val="00257D06"/>
    <w:rsid w:val="00260603"/>
    <w:rsid w:val="00260E97"/>
    <w:rsid w:val="00261024"/>
    <w:rsid w:val="002638D9"/>
    <w:rsid w:val="0026571F"/>
    <w:rsid w:val="002658A0"/>
    <w:rsid w:val="00265AD8"/>
    <w:rsid w:val="0027625A"/>
    <w:rsid w:val="00276572"/>
    <w:rsid w:val="00277319"/>
    <w:rsid w:val="00284147"/>
    <w:rsid w:val="002854B9"/>
    <w:rsid w:val="00285998"/>
    <w:rsid w:val="00292E91"/>
    <w:rsid w:val="002931C4"/>
    <w:rsid w:val="00293B30"/>
    <w:rsid w:val="0029416B"/>
    <w:rsid w:val="00294E32"/>
    <w:rsid w:val="00297510"/>
    <w:rsid w:val="00297555"/>
    <w:rsid w:val="002A125F"/>
    <w:rsid w:val="002A378A"/>
    <w:rsid w:val="002A511C"/>
    <w:rsid w:val="002A6BD2"/>
    <w:rsid w:val="002A7EF4"/>
    <w:rsid w:val="002B1A93"/>
    <w:rsid w:val="002B22DB"/>
    <w:rsid w:val="002B2348"/>
    <w:rsid w:val="002B44E2"/>
    <w:rsid w:val="002B4D42"/>
    <w:rsid w:val="002B50B0"/>
    <w:rsid w:val="002B69B0"/>
    <w:rsid w:val="002C0771"/>
    <w:rsid w:val="002C1390"/>
    <w:rsid w:val="002C1818"/>
    <w:rsid w:val="002C2420"/>
    <w:rsid w:val="002C27BE"/>
    <w:rsid w:val="002C661E"/>
    <w:rsid w:val="002C6C08"/>
    <w:rsid w:val="002D16E6"/>
    <w:rsid w:val="002D561B"/>
    <w:rsid w:val="002D7FB9"/>
    <w:rsid w:val="002E0F04"/>
    <w:rsid w:val="002E38A7"/>
    <w:rsid w:val="002E59E1"/>
    <w:rsid w:val="002F32C6"/>
    <w:rsid w:val="002F36C3"/>
    <w:rsid w:val="002F3A6E"/>
    <w:rsid w:val="002F5B8A"/>
    <w:rsid w:val="002F5D60"/>
    <w:rsid w:val="002F6512"/>
    <w:rsid w:val="002F6D3E"/>
    <w:rsid w:val="00301FE5"/>
    <w:rsid w:val="00303E3A"/>
    <w:rsid w:val="0030736E"/>
    <w:rsid w:val="003110AA"/>
    <w:rsid w:val="00311151"/>
    <w:rsid w:val="003131A8"/>
    <w:rsid w:val="00313AC2"/>
    <w:rsid w:val="003154CD"/>
    <w:rsid w:val="00321B1B"/>
    <w:rsid w:val="00322F90"/>
    <w:rsid w:val="00330F6E"/>
    <w:rsid w:val="003330B9"/>
    <w:rsid w:val="00336427"/>
    <w:rsid w:val="00342274"/>
    <w:rsid w:val="003469FA"/>
    <w:rsid w:val="00352CBE"/>
    <w:rsid w:val="00353C6E"/>
    <w:rsid w:val="0036308C"/>
    <w:rsid w:val="00364E98"/>
    <w:rsid w:val="003662AF"/>
    <w:rsid w:val="0036656B"/>
    <w:rsid w:val="00366A9C"/>
    <w:rsid w:val="0037289F"/>
    <w:rsid w:val="00375F9D"/>
    <w:rsid w:val="0037695F"/>
    <w:rsid w:val="0037BE84"/>
    <w:rsid w:val="003818C2"/>
    <w:rsid w:val="00381FA9"/>
    <w:rsid w:val="0038215D"/>
    <w:rsid w:val="00382F71"/>
    <w:rsid w:val="00383A5F"/>
    <w:rsid w:val="003926EC"/>
    <w:rsid w:val="003A1773"/>
    <w:rsid w:val="003A2DAB"/>
    <w:rsid w:val="003A4BF0"/>
    <w:rsid w:val="003A51DE"/>
    <w:rsid w:val="003B493F"/>
    <w:rsid w:val="003B4E46"/>
    <w:rsid w:val="003B55C2"/>
    <w:rsid w:val="003B5F8F"/>
    <w:rsid w:val="003C2479"/>
    <w:rsid w:val="003C281E"/>
    <w:rsid w:val="003C579F"/>
    <w:rsid w:val="003C75B5"/>
    <w:rsid w:val="003D1E66"/>
    <w:rsid w:val="003D1FE7"/>
    <w:rsid w:val="003D332E"/>
    <w:rsid w:val="003D5183"/>
    <w:rsid w:val="003D7DB4"/>
    <w:rsid w:val="003E0B3A"/>
    <w:rsid w:val="003E4A71"/>
    <w:rsid w:val="003E4CD8"/>
    <w:rsid w:val="003E57A5"/>
    <w:rsid w:val="003E5D4F"/>
    <w:rsid w:val="003F03AA"/>
    <w:rsid w:val="003F0CCC"/>
    <w:rsid w:val="003F3D0F"/>
    <w:rsid w:val="004034CA"/>
    <w:rsid w:val="00405085"/>
    <w:rsid w:val="00405DE1"/>
    <w:rsid w:val="004062A6"/>
    <w:rsid w:val="00407D9B"/>
    <w:rsid w:val="00410459"/>
    <w:rsid w:val="004124E7"/>
    <w:rsid w:val="00413937"/>
    <w:rsid w:val="004140A7"/>
    <w:rsid w:val="00415153"/>
    <w:rsid w:val="0042375F"/>
    <w:rsid w:val="004238D9"/>
    <w:rsid w:val="0043332F"/>
    <w:rsid w:val="0043597B"/>
    <w:rsid w:val="0043778C"/>
    <w:rsid w:val="00445F58"/>
    <w:rsid w:val="00450D47"/>
    <w:rsid w:val="00451C46"/>
    <w:rsid w:val="00451D19"/>
    <w:rsid w:val="0045578E"/>
    <w:rsid w:val="0045775C"/>
    <w:rsid w:val="004705D0"/>
    <w:rsid w:val="00470F0A"/>
    <w:rsid w:val="00471EDA"/>
    <w:rsid w:val="0047537B"/>
    <w:rsid w:val="00477D42"/>
    <w:rsid w:val="00477EDA"/>
    <w:rsid w:val="004817F8"/>
    <w:rsid w:val="00487CC4"/>
    <w:rsid w:val="00490476"/>
    <w:rsid w:val="00491A26"/>
    <w:rsid w:val="00495846"/>
    <w:rsid w:val="00496D3A"/>
    <w:rsid w:val="0049787E"/>
    <w:rsid w:val="004A2819"/>
    <w:rsid w:val="004A3632"/>
    <w:rsid w:val="004A403E"/>
    <w:rsid w:val="004A697D"/>
    <w:rsid w:val="004A6DF0"/>
    <w:rsid w:val="004B1ECD"/>
    <w:rsid w:val="004B357B"/>
    <w:rsid w:val="004B364F"/>
    <w:rsid w:val="004B3702"/>
    <w:rsid w:val="004B62D2"/>
    <w:rsid w:val="004B7E91"/>
    <w:rsid w:val="004BB297"/>
    <w:rsid w:val="004C1DF7"/>
    <w:rsid w:val="004C2552"/>
    <w:rsid w:val="004C29F7"/>
    <w:rsid w:val="004D1755"/>
    <w:rsid w:val="004D1BDD"/>
    <w:rsid w:val="004D5AF8"/>
    <w:rsid w:val="004E50F0"/>
    <w:rsid w:val="004E51EB"/>
    <w:rsid w:val="004E60B4"/>
    <w:rsid w:val="004F1770"/>
    <w:rsid w:val="004F3C8C"/>
    <w:rsid w:val="004F5C04"/>
    <w:rsid w:val="004F5E09"/>
    <w:rsid w:val="00500241"/>
    <w:rsid w:val="005011B5"/>
    <w:rsid w:val="00512939"/>
    <w:rsid w:val="00513B2D"/>
    <w:rsid w:val="00514BF8"/>
    <w:rsid w:val="00514EB7"/>
    <w:rsid w:val="005158C0"/>
    <w:rsid w:val="0051730B"/>
    <w:rsid w:val="00524884"/>
    <w:rsid w:val="00534692"/>
    <w:rsid w:val="005363F8"/>
    <w:rsid w:val="00536A4C"/>
    <w:rsid w:val="005414A4"/>
    <w:rsid w:val="00541533"/>
    <w:rsid w:val="00552280"/>
    <w:rsid w:val="00552294"/>
    <w:rsid w:val="00553083"/>
    <w:rsid w:val="00554E4F"/>
    <w:rsid w:val="00555FBC"/>
    <w:rsid w:val="00565758"/>
    <w:rsid w:val="005666C3"/>
    <w:rsid w:val="00566D6A"/>
    <w:rsid w:val="00570104"/>
    <w:rsid w:val="0057232A"/>
    <w:rsid w:val="00573C2D"/>
    <w:rsid w:val="0057463A"/>
    <w:rsid w:val="00576A2B"/>
    <w:rsid w:val="00580917"/>
    <w:rsid w:val="005816CC"/>
    <w:rsid w:val="005829A1"/>
    <w:rsid w:val="00587190"/>
    <w:rsid w:val="00587688"/>
    <w:rsid w:val="005879B6"/>
    <w:rsid w:val="00590E55"/>
    <w:rsid w:val="00591155"/>
    <w:rsid w:val="00595103"/>
    <w:rsid w:val="005A2B56"/>
    <w:rsid w:val="005A2FE6"/>
    <w:rsid w:val="005A5956"/>
    <w:rsid w:val="005A5B8B"/>
    <w:rsid w:val="005B1DD9"/>
    <w:rsid w:val="005B1E9C"/>
    <w:rsid w:val="005B5061"/>
    <w:rsid w:val="005C18EB"/>
    <w:rsid w:val="005C1B93"/>
    <w:rsid w:val="005C3462"/>
    <w:rsid w:val="005C4112"/>
    <w:rsid w:val="005C4210"/>
    <w:rsid w:val="005D0BE7"/>
    <w:rsid w:val="005D119B"/>
    <w:rsid w:val="005D17EE"/>
    <w:rsid w:val="005D24CB"/>
    <w:rsid w:val="005D3984"/>
    <w:rsid w:val="005D6A6F"/>
    <w:rsid w:val="005E3DED"/>
    <w:rsid w:val="005E6121"/>
    <w:rsid w:val="005E65FA"/>
    <w:rsid w:val="005F07EE"/>
    <w:rsid w:val="005F0A07"/>
    <w:rsid w:val="005F45B7"/>
    <w:rsid w:val="006016C0"/>
    <w:rsid w:val="00601AF2"/>
    <w:rsid w:val="0060418E"/>
    <w:rsid w:val="006051A4"/>
    <w:rsid w:val="006100F1"/>
    <w:rsid w:val="00611460"/>
    <w:rsid w:val="00616BD9"/>
    <w:rsid w:val="006176A1"/>
    <w:rsid w:val="00621FFD"/>
    <w:rsid w:val="00622315"/>
    <w:rsid w:val="00622957"/>
    <w:rsid w:val="00622F27"/>
    <w:rsid w:val="00624885"/>
    <w:rsid w:val="0062741C"/>
    <w:rsid w:val="00627570"/>
    <w:rsid w:val="00631C7D"/>
    <w:rsid w:val="006321F9"/>
    <w:rsid w:val="00632748"/>
    <w:rsid w:val="00636E28"/>
    <w:rsid w:val="006379EA"/>
    <w:rsid w:val="0064101A"/>
    <w:rsid w:val="006414C4"/>
    <w:rsid w:val="00644BA0"/>
    <w:rsid w:val="006450EB"/>
    <w:rsid w:val="006460DB"/>
    <w:rsid w:val="0064713D"/>
    <w:rsid w:val="006500CB"/>
    <w:rsid w:val="006509E2"/>
    <w:rsid w:val="00650E2B"/>
    <w:rsid w:val="00651E52"/>
    <w:rsid w:val="00661581"/>
    <w:rsid w:val="00666905"/>
    <w:rsid w:val="0066731D"/>
    <w:rsid w:val="00670140"/>
    <w:rsid w:val="006759C1"/>
    <w:rsid w:val="00676281"/>
    <w:rsid w:val="0067720E"/>
    <w:rsid w:val="00680FD2"/>
    <w:rsid w:val="006844D0"/>
    <w:rsid w:val="006849E6"/>
    <w:rsid w:val="00685764"/>
    <w:rsid w:val="00685BF7"/>
    <w:rsid w:val="00691795"/>
    <w:rsid w:val="006930DE"/>
    <w:rsid w:val="00695A47"/>
    <w:rsid w:val="006A3A0B"/>
    <w:rsid w:val="006A76FF"/>
    <w:rsid w:val="006B336E"/>
    <w:rsid w:val="006B382F"/>
    <w:rsid w:val="006B38A6"/>
    <w:rsid w:val="006B431D"/>
    <w:rsid w:val="006B4C0D"/>
    <w:rsid w:val="006B67C8"/>
    <w:rsid w:val="006B6D25"/>
    <w:rsid w:val="006B7F75"/>
    <w:rsid w:val="006C0ED1"/>
    <w:rsid w:val="006C2387"/>
    <w:rsid w:val="006C27E2"/>
    <w:rsid w:val="006C3763"/>
    <w:rsid w:val="006C4637"/>
    <w:rsid w:val="006D02CC"/>
    <w:rsid w:val="006D371C"/>
    <w:rsid w:val="006D6045"/>
    <w:rsid w:val="006D7523"/>
    <w:rsid w:val="006E787D"/>
    <w:rsid w:val="006F12F8"/>
    <w:rsid w:val="006F1393"/>
    <w:rsid w:val="006F6376"/>
    <w:rsid w:val="00701075"/>
    <w:rsid w:val="00702326"/>
    <w:rsid w:val="00704DBA"/>
    <w:rsid w:val="00705CF6"/>
    <w:rsid w:val="0070656B"/>
    <w:rsid w:val="00706AF5"/>
    <w:rsid w:val="00706CB3"/>
    <w:rsid w:val="00707ACA"/>
    <w:rsid w:val="007116E0"/>
    <w:rsid w:val="00711845"/>
    <w:rsid w:val="00716556"/>
    <w:rsid w:val="00716C81"/>
    <w:rsid w:val="00722640"/>
    <w:rsid w:val="007226F3"/>
    <w:rsid w:val="00733DDC"/>
    <w:rsid w:val="007352F0"/>
    <w:rsid w:val="007368F5"/>
    <w:rsid w:val="0073712F"/>
    <w:rsid w:val="00737242"/>
    <w:rsid w:val="007419CE"/>
    <w:rsid w:val="00741FD6"/>
    <w:rsid w:val="00742CE8"/>
    <w:rsid w:val="00742F9C"/>
    <w:rsid w:val="00745108"/>
    <w:rsid w:val="00745123"/>
    <w:rsid w:val="007507F8"/>
    <w:rsid w:val="00751178"/>
    <w:rsid w:val="00751466"/>
    <w:rsid w:val="007538E6"/>
    <w:rsid w:val="00756715"/>
    <w:rsid w:val="00762C91"/>
    <w:rsid w:val="0076521F"/>
    <w:rsid w:val="007662AF"/>
    <w:rsid w:val="00766D4F"/>
    <w:rsid w:val="00767D75"/>
    <w:rsid w:val="00770180"/>
    <w:rsid w:val="007714C1"/>
    <w:rsid w:val="00771C82"/>
    <w:rsid w:val="007731D5"/>
    <w:rsid w:val="00773844"/>
    <w:rsid w:val="0078738F"/>
    <w:rsid w:val="007927E5"/>
    <w:rsid w:val="0079332A"/>
    <w:rsid w:val="007937E8"/>
    <w:rsid w:val="00793A6A"/>
    <w:rsid w:val="00793B2C"/>
    <w:rsid w:val="00793C65"/>
    <w:rsid w:val="00796D78"/>
    <w:rsid w:val="00796EA1"/>
    <w:rsid w:val="00797DED"/>
    <w:rsid w:val="007A1813"/>
    <w:rsid w:val="007A38BF"/>
    <w:rsid w:val="007A5B8E"/>
    <w:rsid w:val="007A5F6F"/>
    <w:rsid w:val="007A739A"/>
    <w:rsid w:val="007A73FF"/>
    <w:rsid w:val="007A7B12"/>
    <w:rsid w:val="007B157D"/>
    <w:rsid w:val="007B1686"/>
    <w:rsid w:val="007B18D2"/>
    <w:rsid w:val="007B20DF"/>
    <w:rsid w:val="007C0201"/>
    <w:rsid w:val="007C147A"/>
    <w:rsid w:val="007C1689"/>
    <w:rsid w:val="007C6F81"/>
    <w:rsid w:val="007C7366"/>
    <w:rsid w:val="007C7C81"/>
    <w:rsid w:val="007D1493"/>
    <w:rsid w:val="007D1552"/>
    <w:rsid w:val="007D60A8"/>
    <w:rsid w:val="007E0A26"/>
    <w:rsid w:val="007E18DB"/>
    <w:rsid w:val="007E1A9D"/>
    <w:rsid w:val="007E3770"/>
    <w:rsid w:val="007E4B5E"/>
    <w:rsid w:val="007E73E4"/>
    <w:rsid w:val="007F0377"/>
    <w:rsid w:val="007F0520"/>
    <w:rsid w:val="007F278B"/>
    <w:rsid w:val="007F46E2"/>
    <w:rsid w:val="007F6F6C"/>
    <w:rsid w:val="00801260"/>
    <w:rsid w:val="00803794"/>
    <w:rsid w:val="00803AE2"/>
    <w:rsid w:val="00806043"/>
    <w:rsid w:val="00806826"/>
    <w:rsid w:val="00806866"/>
    <w:rsid w:val="00807FE6"/>
    <w:rsid w:val="00810387"/>
    <w:rsid w:val="00810D05"/>
    <w:rsid w:val="00811247"/>
    <w:rsid w:val="008123DE"/>
    <w:rsid w:val="0081331D"/>
    <w:rsid w:val="0081454E"/>
    <w:rsid w:val="008157D3"/>
    <w:rsid w:val="008177E0"/>
    <w:rsid w:val="00820492"/>
    <w:rsid w:val="00820CF7"/>
    <w:rsid w:val="00823632"/>
    <w:rsid w:val="00823861"/>
    <w:rsid w:val="00832244"/>
    <w:rsid w:val="00832EE3"/>
    <w:rsid w:val="0083503E"/>
    <w:rsid w:val="00835CC8"/>
    <w:rsid w:val="0083649D"/>
    <w:rsid w:val="008407B0"/>
    <w:rsid w:val="008412B2"/>
    <w:rsid w:val="0085482E"/>
    <w:rsid w:val="00854BD0"/>
    <w:rsid w:val="0085578B"/>
    <w:rsid w:val="00856A4C"/>
    <w:rsid w:val="00860482"/>
    <w:rsid w:val="0086101F"/>
    <w:rsid w:val="0086116A"/>
    <w:rsid w:val="008650F2"/>
    <w:rsid w:val="00865BEF"/>
    <w:rsid w:val="0086691F"/>
    <w:rsid w:val="00867A2E"/>
    <w:rsid w:val="00867A50"/>
    <w:rsid w:val="00871342"/>
    <w:rsid w:val="008728B2"/>
    <w:rsid w:val="00872A5B"/>
    <w:rsid w:val="00873076"/>
    <w:rsid w:val="00873F30"/>
    <w:rsid w:val="00876844"/>
    <w:rsid w:val="0087732A"/>
    <w:rsid w:val="0087754F"/>
    <w:rsid w:val="00877B90"/>
    <w:rsid w:val="00877EED"/>
    <w:rsid w:val="00880163"/>
    <w:rsid w:val="00880DC9"/>
    <w:rsid w:val="00887A76"/>
    <w:rsid w:val="0089020A"/>
    <w:rsid w:val="008911AC"/>
    <w:rsid w:val="00891A5B"/>
    <w:rsid w:val="008A003F"/>
    <w:rsid w:val="008A07B8"/>
    <w:rsid w:val="008A1522"/>
    <w:rsid w:val="008A1F17"/>
    <w:rsid w:val="008A2F71"/>
    <w:rsid w:val="008A4F16"/>
    <w:rsid w:val="008A5528"/>
    <w:rsid w:val="008A6A77"/>
    <w:rsid w:val="008B0021"/>
    <w:rsid w:val="008B1262"/>
    <w:rsid w:val="008B27C5"/>
    <w:rsid w:val="008B3E62"/>
    <w:rsid w:val="008C20D7"/>
    <w:rsid w:val="008C4614"/>
    <w:rsid w:val="008C7CBC"/>
    <w:rsid w:val="008D0403"/>
    <w:rsid w:val="008D1DD8"/>
    <w:rsid w:val="008D255A"/>
    <w:rsid w:val="008D2AF7"/>
    <w:rsid w:val="008D2D82"/>
    <w:rsid w:val="008D6493"/>
    <w:rsid w:val="008D6B34"/>
    <w:rsid w:val="008E3FC5"/>
    <w:rsid w:val="008F1441"/>
    <w:rsid w:val="008F1B06"/>
    <w:rsid w:val="008F2E3C"/>
    <w:rsid w:val="008F7BBE"/>
    <w:rsid w:val="0090550C"/>
    <w:rsid w:val="00906649"/>
    <w:rsid w:val="00911F09"/>
    <w:rsid w:val="00912070"/>
    <w:rsid w:val="009138DF"/>
    <w:rsid w:val="00913C90"/>
    <w:rsid w:val="00916388"/>
    <w:rsid w:val="009167A9"/>
    <w:rsid w:val="00920EC0"/>
    <w:rsid w:val="0092592C"/>
    <w:rsid w:val="009303B7"/>
    <w:rsid w:val="00930F2B"/>
    <w:rsid w:val="00932BF9"/>
    <w:rsid w:val="00935D51"/>
    <w:rsid w:val="0093699A"/>
    <w:rsid w:val="009379FC"/>
    <w:rsid w:val="00940EDE"/>
    <w:rsid w:val="00942AB2"/>
    <w:rsid w:val="00944581"/>
    <w:rsid w:val="00945C04"/>
    <w:rsid w:val="00946D97"/>
    <w:rsid w:val="00950785"/>
    <w:rsid w:val="00951F56"/>
    <w:rsid w:val="00953DB7"/>
    <w:rsid w:val="00970C25"/>
    <w:rsid w:val="00972000"/>
    <w:rsid w:val="00972A48"/>
    <w:rsid w:val="009733AD"/>
    <w:rsid w:val="00973FF2"/>
    <w:rsid w:val="009771E2"/>
    <w:rsid w:val="00980AB9"/>
    <w:rsid w:val="00981317"/>
    <w:rsid w:val="00985AC7"/>
    <w:rsid w:val="00986EE0"/>
    <w:rsid w:val="009919F4"/>
    <w:rsid w:val="00991EAF"/>
    <w:rsid w:val="0099255D"/>
    <w:rsid w:val="00992DF1"/>
    <w:rsid w:val="00993086"/>
    <w:rsid w:val="00994C46"/>
    <w:rsid w:val="00994E25"/>
    <w:rsid w:val="00994EE5"/>
    <w:rsid w:val="009A0729"/>
    <w:rsid w:val="009A5F22"/>
    <w:rsid w:val="009B07A7"/>
    <w:rsid w:val="009B25A3"/>
    <w:rsid w:val="009B3E60"/>
    <w:rsid w:val="009B7156"/>
    <w:rsid w:val="009C0574"/>
    <w:rsid w:val="009C06AD"/>
    <w:rsid w:val="009C15F2"/>
    <w:rsid w:val="009C1C42"/>
    <w:rsid w:val="009C2A0A"/>
    <w:rsid w:val="009C36D8"/>
    <w:rsid w:val="009C5102"/>
    <w:rsid w:val="009C552D"/>
    <w:rsid w:val="009C7D7E"/>
    <w:rsid w:val="009D383A"/>
    <w:rsid w:val="009D5565"/>
    <w:rsid w:val="009D582C"/>
    <w:rsid w:val="009E18BB"/>
    <w:rsid w:val="009E1EB8"/>
    <w:rsid w:val="009E39BD"/>
    <w:rsid w:val="009E5B3C"/>
    <w:rsid w:val="009F3C84"/>
    <w:rsid w:val="00A00335"/>
    <w:rsid w:val="00A01B1B"/>
    <w:rsid w:val="00A05423"/>
    <w:rsid w:val="00A06D8C"/>
    <w:rsid w:val="00A100A5"/>
    <w:rsid w:val="00A13301"/>
    <w:rsid w:val="00A15607"/>
    <w:rsid w:val="00A1564D"/>
    <w:rsid w:val="00A1655B"/>
    <w:rsid w:val="00A216D5"/>
    <w:rsid w:val="00A21C6F"/>
    <w:rsid w:val="00A23C17"/>
    <w:rsid w:val="00A27FF0"/>
    <w:rsid w:val="00A31470"/>
    <w:rsid w:val="00A32E0D"/>
    <w:rsid w:val="00A33FD4"/>
    <w:rsid w:val="00A36DB8"/>
    <w:rsid w:val="00A3789A"/>
    <w:rsid w:val="00A37E74"/>
    <w:rsid w:val="00A40748"/>
    <w:rsid w:val="00A40B08"/>
    <w:rsid w:val="00A4478C"/>
    <w:rsid w:val="00A457DA"/>
    <w:rsid w:val="00A50B42"/>
    <w:rsid w:val="00A540B2"/>
    <w:rsid w:val="00A60313"/>
    <w:rsid w:val="00A60B7A"/>
    <w:rsid w:val="00A61DFF"/>
    <w:rsid w:val="00A62DB2"/>
    <w:rsid w:val="00A6511C"/>
    <w:rsid w:val="00A67394"/>
    <w:rsid w:val="00A712C6"/>
    <w:rsid w:val="00A72367"/>
    <w:rsid w:val="00A813A6"/>
    <w:rsid w:val="00A90E75"/>
    <w:rsid w:val="00A91CB0"/>
    <w:rsid w:val="00A928C5"/>
    <w:rsid w:val="00A932C1"/>
    <w:rsid w:val="00AA2EF6"/>
    <w:rsid w:val="00AB0472"/>
    <w:rsid w:val="00AB4056"/>
    <w:rsid w:val="00AB5EC7"/>
    <w:rsid w:val="00AB66CA"/>
    <w:rsid w:val="00AB6E8A"/>
    <w:rsid w:val="00AB73A4"/>
    <w:rsid w:val="00AC0852"/>
    <w:rsid w:val="00AC09D1"/>
    <w:rsid w:val="00AC0ABE"/>
    <w:rsid w:val="00AC1937"/>
    <w:rsid w:val="00AC24AE"/>
    <w:rsid w:val="00AC45BE"/>
    <w:rsid w:val="00AC74CB"/>
    <w:rsid w:val="00AD01DE"/>
    <w:rsid w:val="00AD5348"/>
    <w:rsid w:val="00AD6B83"/>
    <w:rsid w:val="00AE4CEE"/>
    <w:rsid w:val="00AE6123"/>
    <w:rsid w:val="00AE61BF"/>
    <w:rsid w:val="00AE65B8"/>
    <w:rsid w:val="00AE65F2"/>
    <w:rsid w:val="00AE7782"/>
    <w:rsid w:val="00AE7FF5"/>
    <w:rsid w:val="00AF01D9"/>
    <w:rsid w:val="00AF3121"/>
    <w:rsid w:val="00AF4506"/>
    <w:rsid w:val="00AF6FC2"/>
    <w:rsid w:val="00B07077"/>
    <w:rsid w:val="00B07551"/>
    <w:rsid w:val="00B1124B"/>
    <w:rsid w:val="00B12825"/>
    <w:rsid w:val="00B2027A"/>
    <w:rsid w:val="00B308C5"/>
    <w:rsid w:val="00B32F26"/>
    <w:rsid w:val="00B372F0"/>
    <w:rsid w:val="00B40417"/>
    <w:rsid w:val="00B40A3E"/>
    <w:rsid w:val="00B44721"/>
    <w:rsid w:val="00B45FEB"/>
    <w:rsid w:val="00B47758"/>
    <w:rsid w:val="00B55413"/>
    <w:rsid w:val="00B56DA0"/>
    <w:rsid w:val="00B60483"/>
    <w:rsid w:val="00B6066B"/>
    <w:rsid w:val="00B6103A"/>
    <w:rsid w:val="00B65B74"/>
    <w:rsid w:val="00B668A4"/>
    <w:rsid w:val="00B671FD"/>
    <w:rsid w:val="00B6789A"/>
    <w:rsid w:val="00B709C8"/>
    <w:rsid w:val="00B7188C"/>
    <w:rsid w:val="00B72D86"/>
    <w:rsid w:val="00B81FC4"/>
    <w:rsid w:val="00B967C8"/>
    <w:rsid w:val="00B9759A"/>
    <w:rsid w:val="00BA27A4"/>
    <w:rsid w:val="00BA2C99"/>
    <w:rsid w:val="00BA4103"/>
    <w:rsid w:val="00BA43E0"/>
    <w:rsid w:val="00BA6F6A"/>
    <w:rsid w:val="00BB147B"/>
    <w:rsid w:val="00BB1EA8"/>
    <w:rsid w:val="00BB2639"/>
    <w:rsid w:val="00BB30DF"/>
    <w:rsid w:val="00BB4BB3"/>
    <w:rsid w:val="00BB5F31"/>
    <w:rsid w:val="00BB6016"/>
    <w:rsid w:val="00BB75DF"/>
    <w:rsid w:val="00BC26B6"/>
    <w:rsid w:val="00BC2E47"/>
    <w:rsid w:val="00BD0D5B"/>
    <w:rsid w:val="00BD10EA"/>
    <w:rsid w:val="00BD43A4"/>
    <w:rsid w:val="00BD4ACC"/>
    <w:rsid w:val="00BD6C7C"/>
    <w:rsid w:val="00BD6D83"/>
    <w:rsid w:val="00BE1F2D"/>
    <w:rsid w:val="00BF151C"/>
    <w:rsid w:val="00BF3DDA"/>
    <w:rsid w:val="00BF5C0C"/>
    <w:rsid w:val="00BF5CC2"/>
    <w:rsid w:val="00C01F2B"/>
    <w:rsid w:val="00C03B16"/>
    <w:rsid w:val="00C042B7"/>
    <w:rsid w:val="00C04745"/>
    <w:rsid w:val="00C07102"/>
    <w:rsid w:val="00C07BC9"/>
    <w:rsid w:val="00C10129"/>
    <w:rsid w:val="00C15D5E"/>
    <w:rsid w:val="00C15F21"/>
    <w:rsid w:val="00C16046"/>
    <w:rsid w:val="00C21A12"/>
    <w:rsid w:val="00C22305"/>
    <w:rsid w:val="00C2329C"/>
    <w:rsid w:val="00C24109"/>
    <w:rsid w:val="00C24F9A"/>
    <w:rsid w:val="00C2629C"/>
    <w:rsid w:val="00C270FB"/>
    <w:rsid w:val="00C301A7"/>
    <w:rsid w:val="00C31A7B"/>
    <w:rsid w:val="00C36F44"/>
    <w:rsid w:val="00C42550"/>
    <w:rsid w:val="00C43321"/>
    <w:rsid w:val="00C456F8"/>
    <w:rsid w:val="00C45737"/>
    <w:rsid w:val="00C463B4"/>
    <w:rsid w:val="00C518EB"/>
    <w:rsid w:val="00C54A7F"/>
    <w:rsid w:val="00C610A8"/>
    <w:rsid w:val="00C6261C"/>
    <w:rsid w:val="00C65B71"/>
    <w:rsid w:val="00C67B1D"/>
    <w:rsid w:val="00C700A2"/>
    <w:rsid w:val="00C7024F"/>
    <w:rsid w:val="00C72FD2"/>
    <w:rsid w:val="00C751EC"/>
    <w:rsid w:val="00C77B38"/>
    <w:rsid w:val="00C85DC6"/>
    <w:rsid w:val="00C864DF"/>
    <w:rsid w:val="00C879CE"/>
    <w:rsid w:val="00C9310D"/>
    <w:rsid w:val="00C96AF0"/>
    <w:rsid w:val="00C96DEC"/>
    <w:rsid w:val="00C97645"/>
    <w:rsid w:val="00C97E40"/>
    <w:rsid w:val="00CA00C9"/>
    <w:rsid w:val="00CA1807"/>
    <w:rsid w:val="00CA19D2"/>
    <w:rsid w:val="00CA1E43"/>
    <w:rsid w:val="00CA2509"/>
    <w:rsid w:val="00CA3148"/>
    <w:rsid w:val="00CA5174"/>
    <w:rsid w:val="00CA52E6"/>
    <w:rsid w:val="00CA796A"/>
    <w:rsid w:val="00CB1664"/>
    <w:rsid w:val="00CB42B0"/>
    <w:rsid w:val="00CB4D0E"/>
    <w:rsid w:val="00CB60BE"/>
    <w:rsid w:val="00CB62F9"/>
    <w:rsid w:val="00CC1A67"/>
    <w:rsid w:val="00CC2A61"/>
    <w:rsid w:val="00CC59F5"/>
    <w:rsid w:val="00CC6A68"/>
    <w:rsid w:val="00CC6BE8"/>
    <w:rsid w:val="00CD0812"/>
    <w:rsid w:val="00CD1ABA"/>
    <w:rsid w:val="00CD4601"/>
    <w:rsid w:val="00CE0217"/>
    <w:rsid w:val="00CE486E"/>
    <w:rsid w:val="00CE58B1"/>
    <w:rsid w:val="00CE6474"/>
    <w:rsid w:val="00CE74DB"/>
    <w:rsid w:val="00CF2273"/>
    <w:rsid w:val="00CF2A5F"/>
    <w:rsid w:val="00CF33A2"/>
    <w:rsid w:val="00CF5368"/>
    <w:rsid w:val="00D012F8"/>
    <w:rsid w:val="00D028C2"/>
    <w:rsid w:val="00D02A93"/>
    <w:rsid w:val="00D03482"/>
    <w:rsid w:val="00D04D8D"/>
    <w:rsid w:val="00D052BE"/>
    <w:rsid w:val="00D0628F"/>
    <w:rsid w:val="00D07D2A"/>
    <w:rsid w:val="00D107EB"/>
    <w:rsid w:val="00D10D8C"/>
    <w:rsid w:val="00D13879"/>
    <w:rsid w:val="00D14E4D"/>
    <w:rsid w:val="00D1734D"/>
    <w:rsid w:val="00D308E8"/>
    <w:rsid w:val="00D326D5"/>
    <w:rsid w:val="00D36025"/>
    <w:rsid w:val="00D36B0C"/>
    <w:rsid w:val="00D42ADD"/>
    <w:rsid w:val="00D50560"/>
    <w:rsid w:val="00D50ACF"/>
    <w:rsid w:val="00D5308A"/>
    <w:rsid w:val="00D53442"/>
    <w:rsid w:val="00D551FC"/>
    <w:rsid w:val="00D55EBD"/>
    <w:rsid w:val="00D60C88"/>
    <w:rsid w:val="00D639FC"/>
    <w:rsid w:val="00D648F6"/>
    <w:rsid w:val="00D652D7"/>
    <w:rsid w:val="00D66343"/>
    <w:rsid w:val="00D66F0E"/>
    <w:rsid w:val="00D67111"/>
    <w:rsid w:val="00D7095B"/>
    <w:rsid w:val="00D72054"/>
    <w:rsid w:val="00D721F0"/>
    <w:rsid w:val="00D766C2"/>
    <w:rsid w:val="00D76CE8"/>
    <w:rsid w:val="00D778BD"/>
    <w:rsid w:val="00D84D5D"/>
    <w:rsid w:val="00D85862"/>
    <w:rsid w:val="00D8598A"/>
    <w:rsid w:val="00D8797E"/>
    <w:rsid w:val="00D915DA"/>
    <w:rsid w:val="00D93FE7"/>
    <w:rsid w:val="00D94E0A"/>
    <w:rsid w:val="00D9594A"/>
    <w:rsid w:val="00D95AFF"/>
    <w:rsid w:val="00D969B6"/>
    <w:rsid w:val="00D96DC6"/>
    <w:rsid w:val="00DA08D5"/>
    <w:rsid w:val="00DA5391"/>
    <w:rsid w:val="00DA71D7"/>
    <w:rsid w:val="00DB0389"/>
    <w:rsid w:val="00DB09AA"/>
    <w:rsid w:val="00DB4A7E"/>
    <w:rsid w:val="00DB62B5"/>
    <w:rsid w:val="00DB7C9F"/>
    <w:rsid w:val="00DC0713"/>
    <w:rsid w:val="00DC16E6"/>
    <w:rsid w:val="00DC25A9"/>
    <w:rsid w:val="00DC793F"/>
    <w:rsid w:val="00DD2ADD"/>
    <w:rsid w:val="00DD3CA7"/>
    <w:rsid w:val="00DD6F8E"/>
    <w:rsid w:val="00DE13A3"/>
    <w:rsid w:val="00DE388C"/>
    <w:rsid w:val="00DE3A57"/>
    <w:rsid w:val="00DE6D15"/>
    <w:rsid w:val="00DE7982"/>
    <w:rsid w:val="00DF440F"/>
    <w:rsid w:val="00DF46E4"/>
    <w:rsid w:val="00E01EFD"/>
    <w:rsid w:val="00E01FD0"/>
    <w:rsid w:val="00E02C4E"/>
    <w:rsid w:val="00E02D2A"/>
    <w:rsid w:val="00E11623"/>
    <w:rsid w:val="00E133CF"/>
    <w:rsid w:val="00E13DE2"/>
    <w:rsid w:val="00E153B6"/>
    <w:rsid w:val="00E2184B"/>
    <w:rsid w:val="00E22BD6"/>
    <w:rsid w:val="00E236EA"/>
    <w:rsid w:val="00E242CE"/>
    <w:rsid w:val="00E26DEB"/>
    <w:rsid w:val="00E321C5"/>
    <w:rsid w:val="00E36DDF"/>
    <w:rsid w:val="00E4052D"/>
    <w:rsid w:val="00E426D0"/>
    <w:rsid w:val="00E4613E"/>
    <w:rsid w:val="00E53A24"/>
    <w:rsid w:val="00E5475B"/>
    <w:rsid w:val="00E55A45"/>
    <w:rsid w:val="00E575B0"/>
    <w:rsid w:val="00E60DC0"/>
    <w:rsid w:val="00E61174"/>
    <w:rsid w:val="00E61E67"/>
    <w:rsid w:val="00E6290E"/>
    <w:rsid w:val="00E64A37"/>
    <w:rsid w:val="00E66073"/>
    <w:rsid w:val="00E66F17"/>
    <w:rsid w:val="00E67A70"/>
    <w:rsid w:val="00E71B0C"/>
    <w:rsid w:val="00E74CDD"/>
    <w:rsid w:val="00E769FF"/>
    <w:rsid w:val="00E77A48"/>
    <w:rsid w:val="00E90ABE"/>
    <w:rsid w:val="00E923BC"/>
    <w:rsid w:val="00EA1241"/>
    <w:rsid w:val="00EA1D84"/>
    <w:rsid w:val="00EA4BBE"/>
    <w:rsid w:val="00EA68BA"/>
    <w:rsid w:val="00EB2789"/>
    <w:rsid w:val="00EB6EEA"/>
    <w:rsid w:val="00EB70C4"/>
    <w:rsid w:val="00EC0390"/>
    <w:rsid w:val="00EC206B"/>
    <w:rsid w:val="00EC2904"/>
    <w:rsid w:val="00EC2FA9"/>
    <w:rsid w:val="00EC31DE"/>
    <w:rsid w:val="00EC41C5"/>
    <w:rsid w:val="00EC614A"/>
    <w:rsid w:val="00EC67B8"/>
    <w:rsid w:val="00EC6B29"/>
    <w:rsid w:val="00ED2024"/>
    <w:rsid w:val="00ED4E84"/>
    <w:rsid w:val="00ED5078"/>
    <w:rsid w:val="00ED5A85"/>
    <w:rsid w:val="00EE0DB8"/>
    <w:rsid w:val="00EE2388"/>
    <w:rsid w:val="00EE3D8E"/>
    <w:rsid w:val="00EE62B1"/>
    <w:rsid w:val="00EE6866"/>
    <w:rsid w:val="00EF1759"/>
    <w:rsid w:val="00EF4C62"/>
    <w:rsid w:val="00EF50A7"/>
    <w:rsid w:val="00EF548F"/>
    <w:rsid w:val="00EF69DB"/>
    <w:rsid w:val="00EF7E96"/>
    <w:rsid w:val="00F0D162"/>
    <w:rsid w:val="00F107EE"/>
    <w:rsid w:val="00F119FC"/>
    <w:rsid w:val="00F13938"/>
    <w:rsid w:val="00F13C70"/>
    <w:rsid w:val="00F17C30"/>
    <w:rsid w:val="00F20527"/>
    <w:rsid w:val="00F20D74"/>
    <w:rsid w:val="00F23CCE"/>
    <w:rsid w:val="00F2607A"/>
    <w:rsid w:val="00F27B0F"/>
    <w:rsid w:val="00F3066B"/>
    <w:rsid w:val="00F313E7"/>
    <w:rsid w:val="00F327B2"/>
    <w:rsid w:val="00F41024"/>
    <w:rsid w:val="00F419EC"/>
    <w:rsid w:val="00F44D35"/>
    <w:rsid w:val="00F46B49"/>
    <w:rsid w:val="00F47C6A"/>
    <w:rsid w:val="00F541C0"/>
    <w:rsid w:val="00F54705"/>
    <w:rsid w:val="00F55108"/>
    <w:rsid w:val="00F56058"/>
    <w:rsid w:val="00F618D9"/>
    <w:rsid w:val="00F6459D"/>
    <w:rsid w:val="00F6530A"/>
    <w:rsid w:val="00F7224B"/>
    <w:rsid w:val="00F75AE1"/>
    <w:rsid w:val="00F76921"/>
    <w:rsid w:val="00F77B45"/>
    <w:rsid w:val="00F825B9"/>
    <w:rsid w:val="00F85230"/>
    <w:rsid w:val="00F85700"/>
    <w:rsid w:val="00F87288"/>
    <w:rsid w:val="00F90FA8"/>
    <w:rsid w:val="00F93F0E"/>
    <w:rsid w:val="00FA0922"/>
    <w:rsid w:val="00FA093C"/>
    <w:rsid w:val="00FA1C71"/>
    <w:rsid w:val="00FA6EFE"/>
    <w:rsid w:val="00FA7AFF"/>
    <w:rsid w:val="00FA7FC5"/>
    <w:rsid w:val="00FB0437"/>
    <w:rsid w:val="00FB167B"/>
    <w:rsid w:val="00FB232B"/>
    <w:rsid w:val="00FB6B26"/>
    <w:rsid w:val="00FC1014"/>
    <w:rsid w:val="00FC2572"/>
    <w:rsid w:val="00FC47D8"/>
    <w:rsid w:val="00FC5B7F"/>
    <w:rsid w:val="00FC6096"/>
    <w:rsid w:val="00FD108A"/>
    <w:rsid w:val="00FD1D1A"/>
    <w:rsid w:val="00FD213A"/>
    <w:rsid w:val="00FD4230"/>
    <w:rsid w:val="00FD4B85"/>
    <w:rsid w:val="00FD5B7B"/>
    <w:rsid w:val="00FD7FD5"/>
    <w:rsid w:val="00FE009B"/>
    <w:rsid w:val="00FE2569"/>
    <w:rsid w:val="00FE4B6A"/>
    <w:rsid w:val="00FF2714"/>
    <w:rsid w:val="00FF35B1"/>
    <w:rsid w:val="00FF36F4"/>
    <w:rsid w:val="00FF44D8"/>
    <w:rsid w:val="00FF53B9"/>
    <w:rsid w:val="00FF74D2"/>
    <w:rsid w:val="00FF7BF2"/>
    <w:rsid w:val="010E509E"/>
    <w:rsid w:val="01206863"/>
    <w:rsid w:val="0137300A"/>
    <w:rsid w:val="0179DFBB"/>
    <w:rsid w:val="017CADA7"/>
    <w:rsid w:val="01E3F0D6"/>
    <w:rsid w:val="021AAC11"/>
    <w:rsid w:val="0270C487"/>
    <w:rsid w:val="02737CF7"/>
    <w:rsid w:val="028FEAC5"/>
    <w:rsid w:val="02C2A1A0"/>
    <w:rsid w:val="02E91CCE"/>
    <w:rsid w:val="02F494EF"/>
    <w:rsid w:val="02FC518B"/>
    <w:rsid w:val="031C141E"/>
    <w:rsid w:val="03407E07"/>
    <w:rsid w:val="03635EAC"/>
    <w:rsid w:val="036F1DC6"/>
    <w:rsid w:val="03D11B4D"/>
    <w:rsid w:val="0433802E"/>
    <w:rsid w:val="044CBC63"/>
    <w:rsid w:val="0452A2F1"/>
    <w:rsid w:val="045DBD33"/>
    <w:rsid w:val="0472084F"/>
    <w:rsid w:val="04960CF3"/>
    <w:rsid w:val="049B8F63"/>
    <w:rsid w:val="04B7E47F"/>
    <w:rsid w:val="04BC3BEF"/>
    <w:rsid w:val="04D40A3D"/>
    <w:rsid w:val="04D6E9E2"/>
    <w:rsid w:val="04FF2F0D"/>
    <w:rsid w:val="054D516E"/>
    <w:rsid w:val="056DADB1"/>
    <w:rsid w:val="0591709D"/>
    <w:rsid w:val="05922752"/>
    <w:rsid w:val="05951D85"/>
    <w:rsid w:val="05A16491"/>
    <w:rsid w:val="05E1C1C1"/>
    <w:rsid w:val="05E8A2B7"/>
    <w:rsid w:val="05EE7352"/>
    <w:rsid w:val="06163C8F"/>
    <w:rsid w:val="0620AB22"/>
    <w:rsid w:val="06255363"/>
    <w:rsid w:val="065146A8"/>
    <w:rsid w:val="06736959"/>
    <w:rsid w:val="068622FF"/>
    <w:rsid w:val="06DD3E17"/>
    <w:rsid w:val="06F72680"/>
    <w:rsid w:val="0742BC11"/>
    <w:rsid w:val="0745CE28"/>
    <w:rsid w:val="07A6B9EF"/>
    <w:rsid w:val="07AE794E"/>
    <w:rsid w:val="07B9C653"/>
    <w:rsid w:val="07CDADB5"/>
    <w:rsid w:val="07E7859A"/>
    <w:rsid w:val="07EB600F"/>
    <w:rsid w:val="07ED1709"/>
    <w:rsid w:val="07F151AA"/>
    <w:rsid w:val="08297667"/>
    <w:rsid w:val="0836DE29"/>
    <w:rsid w:val="08700356"/>
    <w:rsid w:val="088D4456"/>
    <w:rsid w:val="08BF499D"/>
    <w:rsid w:val="08C872C9"/>
    <w:rsid w:val="08D159FA"/>
    <w:rsid w:val="08E1C64E"/>
    <w:rsid w:val="08E49BBA"/>
    <w:rsid w:val="08EAB372"/>
    <w:rsid w:val="08F961CF"/>
    <w:rsid w:val="0906CF2F"/>
    <w:rsid w:val="0907F389"/>
    <w:rsid w:val="091C0D87"/>
    <w:rsid w:val="09311B63"/>
    <w:rsid w:val="094E40A6"/>
    <w:rsid w:val="09636C12"/>
    <w:rsid w:val="0977A88D"/>
    <w:rsid w:val="09787717"/>
    <w:rsid w:val="098A9A13"/>
    <w:rsid w:val="09C751CF"/>
    <w:rsid w:val="09D1D952"/>
    <w:rsid w:val="09D34267"/>
    <w:rsid w:val="09E1CE30"/>
    <w:rsid w:val="09FC8E84"/>
    <w:rsid w:val="0A0ECBB2"/>
    <w:rsid w:val="0A131F1B"/>
    <w:rsid w:val="0A4D421E"/>
    <w:rsid w:val="0A4EA0E5"/>
    <w:rsid w:val="0A6106C4"/>
    <w:rsid w:val="0A8F8923"/>
    <w:rsid w:val="0A99DA0B"/>
    <w:rsid w:val="0AB532E4"/>
    <w:rsid w:val="0ADE39BB"/>
    <w:rsid w:val="0AEDE296"/>
    <w:rsid w:val="0AF16715"/>
    <w:rsid w:val="0B39043C"/>
    <w:rsid w:val="0BB41544"/>
    <w:rsid w:val="0BD6A422"/>
    <w:rsid w:val="0BF3A0AB"/>
    <w:rsid w:val="0BF3A51A"/>
    <w:rsid w:val="0C1DE254"/>
    <w:rsid w:val="0C3603BE"/>
    <w:rsid w:val="0C506135"/>
    <w:rsid w:val="0C5DB4D6"/>
    <w:rsid w:val="0C8EE99C"/>
    <w:rsid w:val="0CA9A9F0"/>
    <w:rsid w:val="0CC1A35D"/>
    <w:rsid w:val="0CC9C2B9"/>
    <w:rsid w:val="0CD19C6C"/>
    <w:rsid w:val="0CDC7CAD"/>
    <w:rsid w:val="0D0A40F2"/>
    <w:rsid w:val="0D45A286"/>
    <w:rsid w:val="0D52888D"/>
    <w:rsid w:val="0D577532"/>
    <w:rsid w:val="0D5DBCE4"/>
    <w:rsid w:val="0D701FB7"/>
    <w:rsid w:val="0D8016A1"/>
    <w:rsid w:val="0D88C00D"/>
    <w:rsid w:val="0DAFDE27"/>
    <w:rsid w:val="0DB73D27"/>
    <w:rsid w:val="0DFD4227"/>
    <w:rsid w:val="0E07E0E1"/>
    <w:rsid w:val="0E0A6860"/>
    <w:rsid w:val="0E49068A"/>
    <w:rsid w:val="0E5B30AF"/>
    <w:rsid w:val="0E9C9DF1"/>
    <w:rsid w:val="0EAC729A"/>
    <w:rsid w:val="0EB6EFE1"/>
    <w:rsid w:val="0EBD5162"/>
    <w:rsid w:val="0F19C757"/>
    <w:rsid w:val="0F231543"/>
    <w:rsid w:val="0F24906E"/>
    <w:rsid w:val="0F28F059"/>
    <w:rsid w:val="0F2E3859"/>
    <w:rsid w:val="0F43E1D2"/>
    <w:rsid w:val="0F620352"/>
    <w:rsid w:val="0FC45B57"/>
    <w:rsid w:val="0FD3CE81"/>
    <w:rsid w:val="0FF70110"/>
    <w:rsid w:val="0FFB947D"/>
    <w:rsid w:val="0FFCDC0D"/>
    <w:rsid w:val="103283B6"/>
    <w:rsid w:val="107228FC"/>
    <w:rsid w:val="109F72CE"/>
    <w:rsid w:val="10ABABAB"/>
    <w:rsid w:val="10BF3F47"/>
    <w:rsid w:val="10C09DFD"/>
    <w:rsid w:val="10E3CB3D"/>
    <w:rsid w:val="10E65A87"/>
    <w:rsid w:val="10FC6C6D"/>
    <w:rsid w:val="11331E5F"/>
    <w:rsid w:val="11475653"/>
    <w:rsid w:val="115E795C"/>
    <w:rsid w:val="116D0114"/>
    <w:rsid w:val="11818B18"/>
    <w:rsid w:val="11B0C8FA"/>
    <w:rsid w:val="11CFFCF4"/>
    <w:rsid w:val="11D705B0"/>
    <w:rsid w:val="11D8E272"/>
    <w:rsid w:val="11E5262D"/>
    <w:rsid w:val="120834E3"/>
    <w:rsid w:val="1218375B"/>
    <w:rsid w:val="124CB0BE"/>
    <w:rsid w:val="1265D91B"/>
    <w:rsid w:val="126B597E"/>
    <w:rsid w:val="12B025B2"/>
    <w:rsid w:val="12CA281E"/>
    <w:rsid w:val="12E06C39"/>
    <w:rsid w:val="1313D3D1"/>
    <w:rsid w:val="1329681B"/>
    <w:rsid w:val="132EA1D2"/>
    <w:rsid w:val="1350F1EA"/>
    <w:rsid w:val="138B025E"/>
    <w:rsid w:val="13D51B91"/>
    <w:rsid w:val="13D71390"/>
    <w:rsid w:val="13F5B119"/>
    <w:rsid w:val="1411C6BE"/>
    <w:rsid w:val="14351AF1"/>
    <w:rsid w:val="1452D446"/>
    <w:rsid w:val="1472B4FD"/>
    <w:rsid w:val="1482ED45"/>
    <w:rsid w:val="14924E53"/>
    <w:rsid w:val="14930860"/>
    <w:rsid w:val="149C1CC9"/>
    <w:rsid w:val="14A94450"/>
    <w:rsid w:val="14EF0358"/>
    <w:rsid w:val="14F764FE"/>
    <w:rsid w:val="14FD9C2B"/>
    <w:rsid w:val="15463197"/>
    <w:rsid w:val="157F9326"/>
    <w:rsid w:val="1593D1F2"/>
    <w:rsid w:val="1596B4A5"/>
    <w:rsid w:val="15A75D72"/>
    <w:rsid w:val="15F2A4D1"/>
    <w:rsid w:val="16151664"/>
    <w:rsid w:val="164095CD"/>
    <w:rsid w:val="16440B2E"/>
    <w:rsid w:val="1663EEF5"/>
    <w:rsid w:val="16644F79"/>
    <w:rsid w:val="16664294"/>
    <w:rsid w:val="167A5E2A"/>
    <w:rsid w:val="167AB685"/>
    <w:rsid w:val="16809E1A"/>
    <w:rsid w:val="168A7676"/>
    <w:rsid w:val="169A9611"/>
    <w:rsid w:val="16A0BD42"/>
    <w:rsid w:val="16B311DD"/>
    <w:rsid w:val="16B74839"/>
    <w:rsid w:val="16F0BA9A"/>
    <w:rsid w:val="176467F2"/>
    <w:rsid w:val="1775F9B1"/>
    <w:rsid w:val="1785B3F3"/>
    <w:rsid w:val="178716E2"/>
    <w:rsid w:val="17C8F59F"/>
    <w:rsid w:val="17E52F89"/>
    <w:rsid w:val="17EEEFBD"/>
    <w:rsid w:val="180A007B"/>
    <w:rsid w:val="182942EA"/>
    <w:rsid w:val="18419AAA"/>
    <w:rsid w:val="1845BFF7"/>
    <w:rsid w:val="187CA369"/>
    <w:rsid w:val="18863F84"/>
    <w:rsid w:val="18942A70"/>
    <w:rsid w:val="1899C0E7"/>
    <w:rsid w:val="18C15EDC"/>
    <w:rsid w:val="18CA78E2"/>
    <w:rsid w:val="18CB72B4"/>
    <w:rsid w:val="18CE5567"/>
    <w:rsid w:val="18D6936B"/>
    <w:rsid w:val="18EE97DA"/>
    <w:rsid w:val="19069147"/>
    <w:rsid w:val="1967C28C"/>
    <w:rsid w:val="19BF35A7"/>
    <w:rsid w:val="1A16D274"/>
    <w:rsid w:val="1A182AEB"/>
    <w:rsid w:val="1A2A1443"/>
    <w:rsid w:val="1A3D4C7F"/>
    <w:rsid w:val="1A567A4D"/>
    <w:rsid w:val="1A6AD843"/>
    <w:rsid w:val="1A7F501C"/>
    <w:rsid w:val="1A806B72"/>
    <w:rsid w:val="1A8A394F"/>
    <w:rsid w:val="1AB27AC9"/>
    <w:rsid w:val="1AC86EBE"/>
    <w:rsid w:val="1AD1679A"/>
    <w:rsid w:val="1AD79528"/>
    <w:rsid w:val="1ADD8940"/>
    <w:rsid w:val="1AF803CC"/>
    <w:rsid w:val="1B0BB5E3"/>
    <w:rsid w:val="1B13C3F5"/>
    <w:rsid w:val="1B3D04BE"/>
    <w:rsid w:val="1B4CA05D"/>
    <w:rsid w:val="1B502B58"/>
    <w:rsid w:val="1B55718F"/>
    <w:rsid w:val="1B5A5CE6"/>
    <w:rsid w:val="1B90DE3D"/>
    <w:rsid w:val="1BA5F84B"/>
    <w:rsid w:val="1BA74772"/>
    <w:rsid w:val="1BCEADFC"/>
    <w:rsid w:val="1BE04642"/>
    <w:rsid w:val="1C98F4ED"/>
    <w:rsid w:val="1CA245A2"/>
    <w:rsid w:val="1CCBDD73"/>
    <w:rsid w:val="1CDD719E"/>
    <w:rsid w:val="1CF27677"/>
    <w:rsid w:val="1D839925"/>
    <w:rsid w:val="1E014912"/>
    <w:rsid w:val="1E1FF4DE"/>
    <w:rsid w:val="1E3873BD"/>
    <w:rsid w:val="1E72B476"/>
    <w:rsid w:val="1E926F0E"/>
    <w:rsid w:val="1E92A6CA"/>
    <w:rsid w:val="1E9A170B"/>
    <w:rsid w:val="1ED692F7"/>
    <w:rsid w:val="1F038FED"/>
    <w:rsid w:val="1F501F3C"/>
    <w:rsid w:val="1F9457FD"/>
    <w:rsid w:val="1F95465D"/>
    <w:rsid w:val="1F9E25C1"/>
    <w:rsid w:val="20151260"/>
    <w:rsid w:val="2030AE40"/>
    <w:rsid w:val="20323832"/>
    <w:rsid w:val="2040F8F2"/>
    <w:rsid w:val="20483C58"/>
    <w:rsid w:val="20532017"/>
    <w:rsid w:val="208613F8"/>
    <w:rsid w:val="208EA10D"/>
    <w:rsid w:val="209FE16E"/>
    <w:rsid w:val="20CB8E58"/>
    <w:rsid w:val="20D68499"/>
    <w:rsid w:val="20F7A0F9"/>
    <w:rsid w:val="21492774"/>
    <w:rsid w:val="2154849E"/>
    <w:rsid w:val="217978EE"/>
    <w:rsid w:val="219137D1"/>
    <w:rsid w:val="2195951A"/>
    <w:rsid w:val="219974D4"/>
    <w:rsid w:val="21CAE45C"/>
    <w:rsid w:val="21ED81BE"/>
    <w:rsid w:val="220A59ED"/>
    <w:rsid w:val="22B367DA"/>
    <w:rsid w:val="22D380A3"/>
    <w:rsid w:val="230E51DC"/>
    <w:rsid w:val="2317E01A"/>
    <w:rsid w:val="2342A65A"/>
    <w:rsid w:val="2364F665"/>
    <w:rsid w:val="236B22CB"/>
    <w:rsid w:val="2383FAC4"/>
    <w:rsid w:val="23909641"/>
    <w:rsid w:val="2391A204"/>
    <w:rsid w:val="23AB9B82"/>
    <w:rsid w:val="23D3976C"/>
    <w:rsid w:val="240994F6"/>
    <w:rsid w:val="240E255B"/>
    <w:rsid w:val="24108515"/>
    <w:rsid w:val="2449E9F6"/>
    <w:rsid w:val="245A2484"/>
    <w:rsid w:val="24613F60"/>
    <w:rsid w:val="24A5C6FB"/>
    <w:rsid w:val="24AC339C"/>
    <w:rsid w:val="24AF049D"/>
    <w:rsid w:val="24B8E3D8"/>
    <w:rsid w:val="24BC8A8B"/>
    <w:rsid w:val="24D7E57C"/>
    <w:rsid w:val="24E816CF"/>
    <w:rsid w:val="24EE7E4A"/>
    <w:rsid w:val="250CE9AB"/>
    <w:rsid w:val="252F174F"/>
    <w:rsid w:val="2550EF0A"/>
    <w:rsid w:val="257D3B17"/>
    <w:rsid w:val="2583DA3D"/>
    <w:rsid w:val="25B5F6DC"/>
    <w:rsid w:val="25C4FB86"/>
    <w:rsid w:val="25C5EAD4"/>
    <w:rsid w:val="25CAB047"/>
    <w:rsid w:val="25CC050D"/>
    <w:rsid w:val="26004A82"/>
    <w:rsid w:val="260DC210"/>
    <w:rsid w:val="2616FB4E"/>
    <w:rsid w:val="26192E5A"/>
    <w:rsid w:val="2648349F"/>
    <w:rsid w:val="2673B5DD"/>
    <w:rsid w:val="26845279"/>
    <w:rsid w:val="269B0025"/>
    <w:rsid w:val="26B89F67"/>
    <w:rsid w:val="26DBF384"/>
    <w:rsid w:val="26E5E164"/>
    <w:rsid w:val="26E8A3EB"/>
    <w:rsid w:val="26F93CB2"/>
    <w:rsid w:val="26FB0EC1"/>
    <w:rsid w:val="27318AFF"/>
    <w:rsid w:val="2745C61D"/>
    <w:rsid w:val="2751579B"/>
    <w:rsid w:val="27B450A3"/>
    <w:rsid w:val="27BB956A"/>
    <w:rsid w:val="27C9311C"/>
    <w:rsid w:val="27EB96D2"/>
    <w:rsid w:val="27F126CE"/>
    <w:rsid w:val="2800AFC6"/>
    <w:rsid w:val="2801C231"/>
    <w:rsid w:val="2802F266"/>
    <w:rsid w:val="2804363B"/>
    <w:rsid w:val="281A757B"/>
    <w:rsid w:val="2822A3AC"/>
    <w:rsid w:val="28300CE5"/>
    <w:rsid w:val="283D3458"/>
    <w:rsid w:val="285B9576"/>
    <w:rsid w:val="2866B811"/>
    <w:rsid w:val="286D27E2"/>
    <w:rsid w:val="2884744C"/>
    <w:rsid w:val="28A2D415"/>
    <w:rsid w:val="28A78020"/>
    <w:rsid w:val="28C00327"/>
    <w:rsid w:val="28C0A87D"/>
    <w:rsid w:val="28CCC22D"/>
    <w:rsid w:val="28EA60F2"/>
    <w:rsid w:val="28FABEDB"/>
    <w:rsid w:val="2936628C"/>
    <w:rsid w:val="2954F208"/>
    <w:rsid w:val="29688231"/>
    <w:rsid w:val="29AB6D0E"/>
    <w:rsid w:val="29C9D8BD"/>
    <w:rsid w:val="2A481E0B"/>
    <w:rsid w:val="2A51F035"/>
    <w:rsid w:val="2AA18716"/>
    <w:rsid w:val="2AA975AA"/>
    <w:rsid w:val="2AD8D3F4"/>
    <w:rsid w:val="2AE0D868"/>
    <w:rsid w:val="2B4232C0"/>
    <w:rsid w:val="2B530CB0"/>
    <w:rsid w:val="2B64D661"/>
    <w:rsid w:val="2B6C26AC"/>
    <w:rsid w:val="2B786C2C"/>
    <w:rsid w:val="2B984CDF"/>
    <w:rsid w:val="2B9E58D3"/>
    <w:rsid w:val="2BCB0DB6"/>
    <w:rsid w:val="2BECD68E"/>
    <w:rsid w:val="2C7CD77B"/>
    <w:rsid w:val="2CAD8074"/>
    <w:rsid w:val="2CE1652C"/>
    <w:rsid w:val="2CE45164"/>
    <w:rsid w:val="2CF25EAB"/>
    <w:rsid w:val="2CF39568"/>
    <w:rsid w:val="2D381ED8"/>
    <w:rsid w:val="2D4289E8"/>
    <w:rsid w:val="2D50AAC7"/>
    <w:rsid w:val="2D6EBD54"/>
    <w:rsid w:val="2DD2BB78"/>
    <w:rsid w:val="2E46B593"/>
    <w:rsid w:val="2E4B122C"/>
    <w:rsid w:val="2E7A9F87"/>
    <w:rsid w:val="2E90DFDF"/>
    <w:rsid w:val="2EB21F16"/>
    <w:rsid w:val="2EBF87F2"/>
    <w:rsid w:val="2EFDB7FA"/>
    <w:rsid w:val="2F17D848"/>
    <w:rsid w:val="2F2BF82F"/>
    <w:rsid w:val="2F312E5C"/>
    <w:rsid w:val="2F3AB89D"/>
    <w:rsid w:val="2F66B80B"/>
    <w:rsid w:val="2F719284"/>
    <w:rsid w:val="2F905D6D"/>
    <w:rsid w:val="2FB4E103"/>
    <w:rsid w:val="2FCEC275"/>
    <w:rsid w:val="2FFBBFF7"/>
    <w:rsid w:val="2FFDFD47"/>
    <w:rsid w:val="3002D9AC"/>
    <w:rsid w:val="30178736"/>
    <w:rsid w:val="301BF226"/>
    <w:rsid w:val="302B362A"/>
    <w:rsid w:val="302E554B"/>
    <w:rsid w:val="3058CC73"/>
    <w:rsid w:val="305E2B87"/>
    <w:rsid w:val="306F65C1"/>
    <w:rsid w:val="3087A4DB"/>
    <w:rsid w:val="309773B7"/>
    <w:rsid w:val="30B37D23"/>
    <w:rsid w:val="30C17FE8"/>
    <w:rsid w:val="30C7C49C"/>
    <w:rsid w:val="30E0CB15"/>
    <w:rsid w:val="30FC6317"/>
    <w:rsid w:val="3111EC2F"/>
    <w:rsid w:val="3144AC59"/>
    <w:rsid w:val="314707B7"/>
    <w:rsid w:val="314C004F"/>
    <w:rsid w:val="3177874D"/>
    <w:rsid w:val="31984BE7"/>
    <w:rsid w:val="319D2E1B"/>
    <w:rsid w:val="31B7C287"/>
    <w:rsid w:val="31BAD687"/>
    <w:rsid w:val="31C4AE53"/>
    <w:rsid w:val="31C7BE6B"/>
    <w:rsid w:val="31D83F74"/>
    <w:rsid w:val="31FEDA6E"/>
    <w:rsid w:val="3231A41A"/>
    <w:rsid w:val="3265430E"/>
    <w:rsid w:val="3290A092"/>
    <w:rsid w:val="32A03ADF"/>
    <w:rsid w:val="331260F1"/>
    <w:rsid w:val="3332B6D5"/>
    <w:rsid w:val="33620405"/>
    <w:rsid w:val="337D715F"/>
    <w:rsid w:val="337F4814"/>
    <w:rsid w:val="33910F04"/>
    <w:rsid w:val="33AD5C86"/>
    <w:rsid w:val="33B043CE"/>
    <w:rsid w:val="33E7C60E"/>
    <w:rsid w:val="33F35D2E"/>
    <w:rsid w:val="3411554E"/>
    <w:rsid w:val="34220C6C"/>
    <w:rsid w:val="343D7182"/>
    <w:rsid w:val="3455B4C5"/>
    <w:rsid w:val="34885226"/>
    <w:rsid w:val="34A7E367"/>
    <w:rsid w:val="34D436FF"/>
    <w:rsid w:val="34E3B2FD"/>
    <w:rsid w:val="34E7D9B7"/>
    <w:rsid w:val="34F5A689"/>
    <w:rsid w:val="352CB8EE"/>
    <w:rsid w:val="3547A643"/>
    <w:rsid w:val="35492CE7"/>
    <w:rsid w:val="355975E0"/>
    <w:rsid w:val="356AE4DA"/>
    <w:rsid w:val="35913925"/>
    <w:rsid w:val="359FC2FD"/>
    <w:rsid w:val="35B8869A"/>
    <w:rsid w:val="35BE1568"/>
    <w:rsid w:val="35CB0851"/>
    <w:rsid w:val="362F8BA9"/>
    <w:rsid w:val="36636BD8"/>
    <w:rsid w:val="36748298"/>
    <w:rsid w:val="367E0640"/>
    <w:rsid w:val="36A6FB35"/>
    <w:rsid w:val="36C33CB8"/>
    <w:rsid w:val="36E4FD48"/>
    <w:rsid w:val="3706B53B"/>
    <w:rsid w:val="3728164C"/>
    <w:rsid w:val="37446F0C"/>
    <w:rsid w:val="3747C720"/>
    <w:rsid w:val="375BE9E7"/>
    <w:rsid w:val="3778A85A"/>
    <w:rsid w:val="37879F29"/>
    <w:rsid w:val="378A29F9"/>
    <w:rsid w:val="3798C19F"/>
    <w:rsid w:val="37BFF2E8"/>
    <w:rsid w:val="3834A449"/>
    <w:rsid w:val="383E1598"/>
    <w:rsid w:val="386A097F"/>
    <w:rsid w:val="3880CDA9"/>
    <w:rsid w:val="38AE5B8B"/>
    <w:rsid w:val="38BD25C4"/>
    <w:rsid w:val="38E36539"/>
    <w:rsid w:val="38EDA8FE"/>
    <w:rsid w:val="38F02A97"/>
    <w:rsid w:val="38F4C533"/>
    <w:rsid w:val="39441AEF"/>
    <w:rsid w:val="395BC349"/>
    <w:rsid w:val="39697D4A"/>
    <w:rsid w:val="39829B0B"/>
    <w:rsid w:val="39860456"/>
    <w:rsid w:val="39B2CCDD"/>
    <w:rsid w:val="3A0852F4"/>
    <w:rsid w:val="3A1C9E0A"/>
    <w:rsid w:val="3A2A6F7A"/>
    <w:rsid w:val="3A39026E"/>
    <w:rsid w:val="3A3E55FD"/>
    <w:rsid w:val="3A4B3AB6"/>
    <w:rsid w:val="3A596338"/>
    <w:rsid w:val="3A733420"/>
    <w:rsid w:val="3A7A4DCB"/>
    <w:rsid w:val="3AB927FC"/>
    <w:rsid w:val="3AF364E3"/>
    <w:rsid w:val="3B326919"/>
    <w:rsid w:val="3B517C30"/>
    <w:rsid w:val="3B641987"/>
    <w:rsid w:val="3B7CE2C4"/>
    <w:rsid w:val="3B8874F5"/>
    <w:rsid w:val="3B8A64BF"/>
    <w:rsid w:val="3B8D05EE"/>
    <w:rsid w:val="3BCEB970"/>
    <w:rsid w:val="3BD5B1D0"/>
    <w:rsid w:val="3C27A815"/>
    <w:rsid w:val="3C85A4D0"/>
    <w:rsid w:val="3C8E53D0"/>
    <w:rsid w:val="3C93640B"/>
    <w:rsid w:val="3D11A54D"/>
    <w:rsid w:val="3D1285F2"/>
    <w:rsid w:val="3D17DA08"/>
    <w:rsid w:val="3D2ACB47"/>
    <w:rsid w:val="3DE2BCAD"/>
    <w:rsid w:val="3DEECB36"/>
    <w:rsid w:val="3E1A84C5"/>
    <w:rsid w:val="3E20BE85"/>
    <w:rsid w:val="3E2716B4"/>
    <w:rsid w:val="3E63A230"/>
    <w:rsid w:val="3E748829"/>
    <w:rsid w:val="3EACB664"/>
    <w:rsid w:val="3EB15134"/>
    <w:rsid w:val="3EB170EF"/>
    <w:rsid w:val="3EFBE8A6"/>
    <w:rsid w:val="3F09BB4F"/>
    <w:rsid w:val="3F0D9453"/>
    <w:rsid w:val="3F89831E"/>
    <w:rsid w:val="3F9B9AF2"/>
    <w:rsid w:val="3FBD7353"/>
    <w:rsid w:val="3FC6B7F5"/>
    <w:rsid w:val="3FE3D220"/>
    <w:rsid w:val="3FE5D925"/>
    <w:rsid w:val="3FF45BA9"/>
    <w:rsid w:val="4014BA07"/>
    <w:rsid w:val="404407E2"/>
    <w:rsid w:val="404983E8"/>
    <w:rsid w:val="40A23561"/>
    <w:rsid w:val="40AA0689"/>
    <w:rsid w:val="40D091CC"/>
    <w:rsid w:val="40F18DC9"/>
    <w:rsid w:val="40F1EF25"/>
    <w:rsid w:val="41066243"/>
    <w:rsid w:val="4108E561"/>
    <w:rsid w:val="41155912"/>
    <w:rsid w:val="418A34CC"/>
    <w:rsid w:val="418DF9FA"/>
    <w:rsid w:val="418FDC35"/>
    <w:rsid w:val="41B7162D"/>
    <w:rsid w:val="41D3F061"/>
    <w:rsid w:val="41E2B1CE"/>
    <w:rsid w:val="41EE1F7B"/>
    <w:rsid w:val="42032956"/>
    <w:rsid w:val="420A902D"/>
    <w:rsid w:val="42124BDD"/>
    <w:rsid w:val="421C457E"/>
    <w:rsid w:val="4223FE7F"/>
    <w:rsid w:val="4227AFEF"/>
    <w:rsid w:val="4280E0C6"/>
    <w:rsid w:val="42B5714C"/>
    <w:rsid w:val="42B7C4EB"/>
    <w:rsid w:val="42E66E04"/>
    <w:rsid w:val="430128CA"/>
    <w:rsid w:val="434F8AE8"/>
    <w:rsid w:val="43875BC5"/>
    <w:rsid w:val="43A0C907"/>
    <w:rsid w:val="43B682FC"/>
    <w:rsid w:val="43D0E919"/>
    <w:rsid w:val="43D8F49F"/>
    <w:rsid w:val="4400EE09"/>
    <w:rsid w:val="441B716C"/>
    <w:rsid w:val="4424306B"/>
    <w:rsid w:val="444116F4"/>
    <w:rsid w:val="446D2DF8"/>
    <w:rsid w:val="44756CEF"/>
    <w:rsid w:val="447BD4EE"/>
    <w:rsid w:val="44809A51"/>
    <w:rsid w:val="44901F3D"/>
    <w:rsid w:val="44AEBAF0"/>
    <w:rsid w:val="44CA3894"/>
    <w:rsid w:val="44CF65C3"/>
    <w:rsid w:val="44F38D9C"/>
    <w:rsid w:val="45177905"/>
    <w:rsid w:val="455019B4"/>
    <w:rsid w:val="4556714D"/>
    <w:rsid w:val="45605CFE"/>
    <w:rsid w:val="4571DE85"/>
    <w:rsid w:val="458FD81A"/>
    <w:rsid w:val="45B435D7"/>
    <w:rsid w:val="45C088E6"/>
    <w:rsid w:val="45C5C527"/>
    <w:rsid w:val="45ED120E"/>
    <w:rsid w:val="460080A6"/>
    <w:rsid w:val="46606745"/>
    <w:rsid w:val="46C4185B"/>
    <w:rsid w:val="4707BCC7"/>
    <w:rsid w:val="4707CC28"/>
    <w:rsid w:val="471E5C6B"/>
    <w:rsid w:val="472D2416"/>
    <w:rsid w:val="473D05D4"/>
    <w:rsid w:val="474C4A54"/>
    <w:rsid w:val="47542429"/>
    <w:rsid w:val="4788918E"/>
    <w:rsid w:val="478980EB"/>
    <w:rsid w:val="478B360E"/>
    <w:rsid w:val="47B1856A"/>
    <w:rsid w:val="47FAB6AE"/>
    <w:rsid w:val="4802DDBD"/>
    <w:rsid w:val="48453D64"/>
    <w:rsid w:val="485495CD"/>
    <w:rsid w:val="48658A23"/>
    <w:rsid w:val="4869EE7E"/>
    <w:rsid w:val="48754AA1"/>
    <w:rsid w:val="489CBE82"/>
    <w:rsid w:val="48BA8E44"/>
    <w:rsid w:val="48C8FB60"/>
    <w:rsid w:val="49473B19"/>
    <w:rsid w:val="498B5199"/>
    <w:rsid w:val="499C91BE"/>
    <w:rsid w:val="4A128337"/>
    <w:rsid w:val="4A30DEE6"/>
    <w:rsid w:val="4A565EA5"/>
    <w:rsid w:val="4A84387E"/>
    <w:rsid w:val="4AB2FF02"/>
    <w:rsid w:val="4AD1EB9A"/>
    <w:rsid w:val="4AF17FE9"/>
    <w:rsid w:val="4B096A9C"/>
    <w:rsid w:val="4B2E5D35"/>
    <w:rsid w:val="4B2FD4C2"/>
    <w:rsid w:val="4B66B56A"/>
    <w:rsid w:val="4B9B4AB9"/>
    <w:rsid w:val="4BA7D3D1"/>
    <w:rsid w:val="4BDCAE72"/>
    <w:rsid w:val="4C1EA22A"/>
    <w:rsid w:val="4C3A110C"/>
    <w:rsid w:val="4C62244E"/>
    <w:rsid w:val="4C719AFE"/>
    <w:rsid w:val="4C7CE81F"/>
    <w:rsid w:val="4CB975C4"/>
    <w:rsid w:val="4CF90FDE"/>
    <w:rsid w:val="4D01D7F4"/>
    <w:rsid w:val="4D0718EF"/>
    <w:rsid w:val="4D0B1E98"/>
    <w:rsid w:val="4D18867E"/>
    <w:rsid w:val="4D2806F0"/>
    <w:rsid w:val="4D2F438E"/>
    <w:rsid w:val="4D3D90D3"/>
    <w:rsid w:val="4D617A1D"/>
    <w:rsid w:val="4DAB05F4"/>
    <w:rsid w:val="4DDA96F2"/>
    <w:rsid w:val="4DE4B2E8"/>
    <w:rsid w:val="4E645D92"/>
    <w:rsid w:val="4E923967"/>
    <w:rsid w:val="4EC4D092"/>
    <w:rsid w:val="4EDA2453"/>
    <w:rsid w:val="4EF3DF38"/>
    <w:rsid w:val="4F05BBEB"/>
    <w:rsid w:val="4F370AA2"/>
    <w:rsid w:val="4F46FECC"/>
    <w:rsid w:val="4F4EDA03"/>
    <w:rsid w:val="4F5A1C7A"/>
    <w:rsid w:val="4F612403"/>
    <w:rsid w:val="4F9B3631"/>
    <w:rsid w:val="4FC17E26"/>
    <w:rsid w:val="50069F93"/>
    <w:rsid w:val="5039E246"/>
    <w:rsid w:val="503EB9B1"/>
    <w:rsid w:val="505DDBFE"/>
    <w:rsid w:val="5061823C"/>
    <w:rsid w:val="50A64CEC"/>
    <w:rsid w:val="50AB708A"/>
    <w:rsid w:val="50E0CC17"/>
    <w:rsid w:val="50E48A02"/>
    <w:rsid w:val="510C2A7E"/>
    <w:rsid w:val="511832BA"/>
    <w:rsid w:val="511B8F19"/>
    <w:rsid w:val="511C45F4"/>
    <w:rsid w:val="516B5B5D"/>
    <w:rsid w:val="5192B2BA"/>
    <w:rsid w:val="519303FE"/>
    <w:rsid w:val="51D90ED2"/>
    <w:rsid w:val="51EE7174"/>
    <w:rsid w:val="520F27B2"/>
    <w:rsid w:val="522E1F64"/>
    <w:rsid w:val="52605664"/>
    <w:rsid w:val="5275A931"/>
    <w:rsid w:val="527E6A5B"/>
    <w:rsid w:val="52912D6C"/>
    <w:rsid w:val="52B7AF3E"/>
    <w:rsid w:val="52C00404"/>
    <w:rsid w:val="52FE1153"/>
    <w:rsid w:val="532A8720"/>
    <w:rsid w:val="5346F923"/>
    <w:rsid w:val="534DBCD1"/>
    <w:rsid w:val="535D3216"/>
    <w:rsid w:val="538F7811"/>
    <w:rsid w:val="53914523"/>
    <w:rsid w:val="5397A532"/>
    <w:rsid w:val="53C6E09D"/>
    <w:rsid w:val="53D49C72"/>
    <w:rsid w:val="53F98A62"/>
    <w:rsid w:val="542442AF"/>
    <w:rsid w:val="542542EC"/>
    <w:rsid w:val="5483816B"/>
    <w:rsid w:val="548972F7"/>
    <w:rsid w:val="54A34758"/>
    <w:rsid w:val="54B04CE2"/>
    <w:rsid w:val="54DD43E9"/>
    <w:rsid w:val="54E04AA0"/>
    <w:rsid w:val="54F6D1CE"/>
    <w:rsid w:val="54F90277"/>
    <w:rsid w:val="54F9CA82"/>
    <w:rsid w:val="550C039D"/>
    <w:rsid w:val="553372DB"/>
    <w:rsid w:val="557A4286"/>
    <w:rsid w:val="558C2522"/>
    <w:rsid w:val="5590E04A"/>
    <w:rsid w:val="5595671E"/>
    <w:rsid w:val="55A580C8"/>
    <w:rsid w:val="55B0C979"/>
    <w:rsid w:val="55B5CFAD"/>
    <w:rsid w:val="55C48078"/>
    <w:rsid w:val="55FE1993"/>
    <w:rsid w:val="563CA219"/>
    <w:rsid w:val="564D81E2"/>
    <w:rsid w:val="566545DD"/>
    <w:rsid w:val="567895B8"/>
    <w:rsid w:val="56A2FF9F"/>
    <w:rsid w:val="56F5EB59"/>
    <w:rsid w:val="57056807"/>
    <w:rsid w:val="5714A5E0"/>
    <w:rsid w:val="571EFF71"/>
    <w:rsid w:val="572B04B1"/>
    <w:rsid w:val="573AC766"/>
    <w:rsid w:val="573EA618"/>
    <w:rsid w:val="57636B55"/>
    <w:rsid w:val="57661853"/>
    <w:rsid w:val="57905067"/>
    <w:rsid w:val="579A035A"/>
    <w:rsid w:val="57C2AC29"/>
    <w:rsid w:val="57ECC1BB"/>
    <w:rsid w:val="581A48F6"/>
    <w:rsid w:val="584F1BC9"/>
    <w:rsid w:val="5858A125"/>
    <w:rsid w:val="586AB997"/>
    <w:rsid w:val="58F82F99"/>
    <w:rsid w:val="58FF0088"/>
    <w:rsid w:val="590D33E9"/>
    <w:rsid w:val="59216813"/>
    <w:rsid w:val="59B61957"/>
    <w:rsid w:val="59FA0D65"/>
    <w:rsid w:val="5A0072C5"/>
    <w:rsid w:val="5A0689F8"/>
    <w:rsid w:val="5A497D16"/>
    <w:rsid w:val="5A4FA42B"/>
    <w:rsid w:val="5A71541A"/>
    <w:rsid w:val="5A867D10"/>
    <w:rsid w:val="5AB5085A"/>
    <w:rsid w:val="5ABF27E3"/>
    <w:rsid w:val="5ACF4E0D"/>
    <w:rsid w:val="5ADA4CA8"/>
    <w:rsid w:val="5ADC4000"/>
    <w:rsid w:val="5AF70054"/>
    <w:rsid w:val="5AFC8489"/>
    <w:rsid w:val="5B01D258"/>
    <w:rsid w:val="5B1A5386"/>
    <w:rsid w:val="5B1D2405"/>
    <w:rsid w:val="5BA25A59"/>
    <w:rsid w:val="5BB085E2"/>
    <w:rsid w:val="5BBD7989"/>
    <w:rsid w:val="5BCA6F3A"/>
    <w:rsid w:val="5BD0880E"/>
    <w:rsid w:val="5BFB7DA0"/>
    <w:rsid w:val="5C51FC36"/>
    <w:rsid w:val="5C9E655D"/>
    <w:rsid w:val="5CA41BA5"/>
    <w:rsid w:val="5CA75E7E"/>
    <w:rsid w:val="5CBA5155"/>
    <w:rsid w:val="5CBDDCCB"/>
    <w:rsid w:val="5CC34C4D"/>
    <w:rsid w:val="5CC864B9"/>
    <w:rsid w:val="5CD144F9"/>
    <w:rsid w:val="5CD33A87"/>
    <w:rsid w:val="5CFA5265"/>
    <w:rsid w:val="5CFD8619"/>
    <w:rsid w:val="5D011319"/>
    <w:rsid w:val="5D376512"/>
    <w:rsid w:val="5D377DEF"/>
    <w:rsid w:val="5D3E2ABA"/>
    <w:rsid w:val="5D921452"/>
    <w:rsid w:val="5D951EFC"/>
    <w:rsid w:val="5DA2DADC"/>
    <w:rsid w:val="5DA97180"/>
    <w:rsid w:val="5DBFF485"/>
    <w:rsid w:val="5DC9F9A0"/>
    <w:rsid w:val="5DCFFB71"/>
    <w:rsid w:val="5E0BBEB1"/>
    <w:rsid w:val="5E18C550"/>
    <w:rsid w:val="5E1D2C31"/>
    <w:rsid w:val="5E26F841"/>
    <w:rsid w:val="5E9A1461"/>
    <w:rsid w:val="5E9FE4BD"/>
    <w:rsid w:val="5EBE97BA"/>
    <w:rsid w:val="5EC9D08A"/>
    <w:rsid w:val="5ED9FB1B"/>
    <w:rsid w:val="5F0E56D9"/>
    <w:rsid w:val="5F12AA39"/>
    <w:rsid w:val="5F20CF77"/>
    <w:rsid w:val="5F2166EF"/>
    <w:rsid w:val="5F3D264D"/>
    <w:rsid w:val="5F554677"/>
    <w:rsid w:val="5F67B402"/>
    <w:rsid w:val="5F9803BA"/>
    <w:rsid w:val="5FED454F"/>
    <w:rsid w:val="600414C0"/>
    <w:rsid w:val="603BB51E"/>
    <w:rsid w:val="60578A06"/>
    <w:rsid w:val="6065557C"/>
    <w:rsid w:val="6075CB7C"/>
    <w:rsid w:val="6098449D"/>
    <w:rsid w:val="60BBD7A3"/>
    <w:rsid w:val="60CEBE90"/>
    <w:rsid w:val="60DA922C"/>
    <w:rsid w:val="60E1C006"/>
    <w:rsid w:val="60F6BE0B"/>
    <w:rsid w:val="61123D07"/>
    <w:rsid w:val="613CB26D"/>
    <w:rsid w:val="618EF7A3"/>
    <w:rsid w:val="61A184D9"/>
    <w:rsid w:val="61EBCADE"/>
    <w:rsid w:val="620AEF12"/>
    <w:rsid w:val="6221E098"/>
    <w:rsid w:val="623D511F"/>
    <w:rsid w:val="624D59C4"/>
    <w:rsid w:val="627B1AA6"/>
    <w:rsid w:val="629BC5D2"/>
    <w:rsid w:val="629E4435"/>
    <w:rsid w:val="62B15D76"/>
    <w:rsid w:val="62B43950"/>
    <w:rsid w:val="6307AA0B"/>
    <w:rsid w:val="63328DD1"/>
    <w:rsid w:val="634671B0"/>
    <w:rsid w:val="637355E0"/>
    <w:rsid w:val="6393637B"/>
    <w:rsid w:val="63A4C818"/>
    <w:rsid w:val="63A8593F"/>
    <w:rsid w:val="63A9ADA7"/>
    <w:rsid w:val="63AB59B5"/>
    <w:rsid w:val="63AD6C3E"/>
    <w:rsid w:val="63BC4EBE"/>
    <w:rsid w:val="642EBC3C"/>
    <w:rsid w:val="644DF076"/>
    <w:rsid w:val="64852CBF"/>
    <w:rsid w:val="64C44EEC"/>
    <w:rsid w:val="64CE5E32"/>
    <w:rsid w:val="64EA07A0"/>
    <w:rsid w:val="64EE4708"/>
    <w:rsid w:val="650CC2A1"/>
    <w:rsid w:val="654F4E94"/>
    <w:rsid w:val="6564AFC4"/>
    <w:rsid w:val="65755438"/>
    <w:rsid w:val="6580D8B5"/>
    <w:rsid w:val="65A47A33"/>
    <w:rsid w:val="65AE64E6"/>
    <w:rsid w:val="65D20587"/>
    <w:rsid w:val="65FDA71B"/>
    <w:rsid w:val="66059C21"/>
    <w:rsid w:val="6613FEA6"/>
    <w:rsid w:val="6638840B"/>
    <w:rsid w:val="668FB828"/>
    <w:rsid w:val="66C419B5"/>
    <w:rsid w:val="66C9F9CD"/>
    <w:rsid w:val="66CBEA47"/>
    <w:rsid w:val="66E50D00"/>
    <w:rsid w:val="66FA6E31"/>
    <w:rsid w:val="673BB290"/>
    <w:rsid w:val="6746BDB6"/>
    <w:rsid w:val="676AF14E"/>
    <w:rsid w:val="676E1EEB"/>
    <w:rsid w:val="67859138"/>
    <w:rsid w:val="67882E44"/>
    <w:rsid w:val="67C04466"/>
    <w:rsid w:val="67D22328"/>
    <w:rsid w:val="67E23544"/>
    <w:rsid w:val="67F5D7E4"/>
    <w:rsid w:val="6805FEF4"/>
    <w:rsid w:val="68103E26"/>
    <w:rsid w:val="6828CF7D"/>
    <w:rsid w:val="684F3048"/>
    <w:rsid w:val="6850523F"/>
    <w:rsid w:val="68794DB0"/>
    <w:rsid w:val="68879D68"/>
    <w:rsid w:val="689CE9B8"/>
    <w:rsid w:val="68B3F028"/>
    <w:rsid w:val="68DD3166"/>
    <w:rsid w:val="68F33BD0"/>
    <w:rsid w:val="68F7E05F"/>
    <w:rsid w:val="6902CF3F"/>
    <w:rsid w:val="6909EF4C"/>
    <w:rsid w:val="691635D0"/>
    <w:rsid w:val="69216199"/>
    <w:rsid w:val="6925B4FF"/>
    <w:rsid w:val="692A9666"/>
    <w:rsid w:val="6941F065"/>
    <w:rsid w:val="695E0D34"/>
    <w:rsid w:val="69881E3A"/>
    <w:rsid w:val="69A5C123"/>
    <w:rsid w:val="69FE6C4C"/>
    <w:rsid w:val="6A1C2E4A"/>
    <w:rsid w:val="6A2AC1D8"/>
    <w:rsid w:val="6A2E0099"/>
    <w:rsid w:val="6A3FBA78"/>
    <w:rsid w:val="6AA27588"/>
    <w:rsid w:val="6AA6A55B"/>
    <w:rsid w:val="6ABD31FA"/>
    <w:rsid w:val="6AD87131"/>
    <w:rsid w:val="6AED43EF"/>
    <w:rsid w:val="6AFA3964"/>
    <w:rsid w:val="6B034921"/>
    <w:rsid w:val="6B0687DC"/>
    <w:rsid w:val="6B13BE51"/>
    <w:rsid w:val="6B16AA78"/>
    <w:rsid w:val="6B2631DA"/>
    <w:rsid w:val="6B3D9FB6"/>
    <w:rsid w:val="6B419184"/>
    <w:rsid w:val="6B532181"/>
    <w:rsid w:val="6B53239A"/>
    <w:rsid w:val="6B734CE3"/>
    <w:rsid w:val="6B95E30C"/>
    <w:rsid w:val="6BA09856"/>
    <w:rsid w:val="6BB87E23"/>
    <w:rsid w:val="6BECF3B7"/>
    <w:rsid w:val="6C0B0FF1"/>
    <w:rsid w:val="6C383368"/>
    <w:rsid w:val="6C5EDC14"/>
    <w:rsid w:val="6C686A6C"/>
    <w:rsid w:val="6C7A950A"/>
    <w:rsid w:val="6C96CF92"/>
    <w:rsid w:val="6CB80CF8"/>
    <w:rsid w:val="6CC047BA"/>
    <w:rsid w:val="6CDD61E5"/>
    <w:rsid w:val="6CE2CD65"/>
    <w:rsid w:val="6D5CDAF8"/>
    <w:rsid w:val="6DF3EB8F"/>
    <w:rsid w:val="6E07B6ED"/>
    <w:rsid w:val="6E1F9CA6"/>
    <w:rsid w:val="6E41426C"/>
    <w:rsid w:val="6E793246"/>
    <w:rsid w:val="6EA57985"/>
    <w:rsid w:val="6EB6E2B4"/>
    <w:rsid w:val="6EC2C17E"/>
    <w:rsid w:val="6F07C07A"/>
    <w:rsid w:val="6F4AC275"/>
    <w:rsid w:val="6FA1F95F"/>
    <w:rsid w:val="6FB1A6F3"/>
    <w:rsid w:val="6FB67E5D"/>
    <w:rsid w:val="6FB8D582"/>
    <w:rsid w:val="6FD86835"/>
    <w:rsid w:val="7000DB56"/>
    <w:rsid w:val="701A44AB"/>
    <w:rsid w:val="701F47B2"/>
    <w:rsid w:val="702AA875"/>
    <w:rsid w:val="7035ACDC"/>
    <w:rsid w:val="7047FCDB"/>
    <w:rsid w:val="7086B58F"/>
    <w:rsid w:val="708BEF46"/>
    <w:rsid w:val="708D1724"/>
    <w:rsid w:val="709742B7"/>
    <w:rsid w:val="70A2C799"/>
    <w:rsid w:val="70ACD7CB"/>
    <w:rsid w:val="70B2AFFD"/>
    <w:rsid w:val="70D3495F"/>
    <w:rsid w:val="70EB8D26"/>
    <w:rsid w:val="7118DC48"/>
    <w:rsid w:val="71212679"/>
    <w:rsid w:val="7125D8F9"/>
    <w:rsid w:val="71405AE0"/>
    <w:rsid w:val="7154A5E3"/>
    <w:rsid w:val="7157F25B"/>
    <w:rsid w:val="7182C93B"/>
    <w:rsid w:val="71AEA9EF"/>
    <w:rsid w:val="71B41A9F"/>
    <w:rsid w:val="71B6A017"/>
    <w:rsid w:val="71B6C931"/>
    <w:rsid w:val="71B9B7E5"/>
    <w:rsid w:val="71BC83BC"/>
    <w:rsid w:val="71BDA617"/>
    <w:rsid w:val="71EF451A"/>
    <w:rsid w:val="720BCD97"/>
    <w:rsid w:val="721C9AB6"/>
    <w:rsid w:val="723A4C8C"/>
    <w:rsid w:val="7244EE9B"/>
    <w:rsid w:val="725BD92A"/>
    <w:rsid w:val="72902476"/>
    <w:rsid w:val="729C3CBC"/>
    <w:rsid w:val="7305F114"/>
    <w:rsid w:val="73133CA0"/>
    <w:rsid w:val="732BDCE0"/>
    <w:rsid w:val="734CA369"/>
    <w:rsid w:val="73527078"/>
    <w:rsid w:val="73550586"/>
    <w:rsid w:val="735575F5"/>
    <w:rsid w:val="738CBEE8"/>
    <w:rsid w:val="73C39008"/>
    <w:rsid w:val="73DFADE5"/>
    <w:rsid w:val="74162547"/>
    <w:rsid w:val="742353DD"/>
    <w:rsid w:val="74370A68"/>
    <w:rsid w:val="745D5EE3"/>
    <w:rsid w:val="74872A8F"/>
    <w:rsid w:val="74977DD3"/>
    <w:rsid w:val="749EC024"/>
    <w:rsid w:val="74D2D053"/>
    <w:rsid w:val="74E7E3B7"/>
    <w:rsid w:val="74E873CA"/>
    <w:rsid w:val="74F9C37A"/>
    <w:rsid w:val="751EAF2B"/>
    <w:rsid w:val="751F1D2D"/>
    <w:rsid w:val="7524600F"/>
    <w:rsid w:val="7525E183"/>
    <w:rsid w:val="753C25A6"/>
    <w:rsid w:val="754A8718"/>
    <w:rsid w:val="755A26B2"/>
    <w:rsid w:val="75D10D83"/>
    <w:rsid w:val="76134465"/>
    <w:rsid w:val="762B9AE8"/>
    <w:rsid w:val="765EA1CF"/>
    <w:rsid w:val="7684442B"/>
    <w:rsid w:val="76B95FD1"/>
    <w:rsid w:val="76BAED8E"/>
    <w:rsid w:val="76DE6231"/>
    <w:rsid w:val="76F5F713"/>
    <w:rsid w:val="771E3D80"/>
    <w:rsid w:val="776F0346"/>
    <w:rsid w:val="7770EC2E"/>
    <w:rsid w:val="77A8F2E6"/>
    <w:rsid w:val="77BB4FA5"/>
    <w:rsid w:val="77EC337F"/>
    <w:rsid w:val="77FA8A55"/>
    <w:rsid w:val="7820148C"/>
    <w:rsid w:val="7840DFB4"/>
    <w:rsid w:val="7856BDEF"/>
    <w:rsid w:val="7869B607"/>
    <w:rsid w:val="7891C774"/>
    <w:rsid w:val="7897012B"/>
    <w:rsid w:val="7897D45B"/>
    <w:rsid w:val="78BD0D78"/>
    <w:rsid w:val="790802C3"/>
    <w:rsid w:val="79502F9A"/>
    <w:rsid w:val="796AEEF6"/>
    <w:rsid w:val="79B9BFBD"/>
    <w:rsid w:val="79CA961C"/>
    <w:rsid w:val="79EBB5E1"/>
    <w:rsid w:val="7A16BA1B"/>
    <w:rsid w:val="7A3F3B8D"/>
    <w:rsid w:val="7A8271DB"/>
    <w:rsid w:val="7A8D0009"/>
    <w:rsid w:val="7ADC0D6C"/>
    <w:rsid w:val="7B07822B"/>
    <w:rsid w:val="7B315CD7"/>
    <w:rsid w:val="7B3F6F3A"/>
    <w:rsid w:val="7B57B54E"/>
    <w:rsid w:val="7B8B661A"/>
    <w:rsid w:val="7BBC7AE7"/>
    <w:rsid w:val="7BCDA71C"/>
    <w:rsid w:val="7BE61233"/>
    <w:rsid w:val="7C03BD50"/>
    <w:rsid w:val="7C1535B9"/>
    <w:rsid w:val="7C3E066F"/>
    <w:rsid w:val="7C547F23"/>
    <w:rsid w:val="7C82537A"/>
    <w:rsid w:val="7C8AFB0D"/>
    <w:rsid w:val="7CD559B9"/>
    <w:rsid w:val="7CE6BF2E"/>
    <w:rsid w:val="7CFBDDF3"/>
    <w:rsid w:val="7D29256C"/>
    <w:rsid w:val="7D35D785"/>
    <w:rsid w:val="7D41981B"/>
    <w:rsid w:val="7D57BDC1"/>
    <w:rsid w:val="7D5C335A"/>
    <w:rsid w:val="7D9543C9"/>
    <w:rsid w:val="7DC29FF5"/>
    <w:rsid w:val="7DE720C2"/>
    <w:rsid w:val="7DEBF32E"/>
    <w:rsid w:val="7DFA5F11"/>
    <w:rsid w:val="7E3B001C"/>
    <w:rsid w:val="7E49165B"/>
    <w:rsid w:val="7E4CFA6A"/>
    <w:rsid w:val="7E5647BB"/>
    <w:rsid w:val="7E76EF94"/>
    <w:rsid w:val="7E7D428C"/>
    <w:rsid w:val="7ED021E5"/>
    <w:rsid w:val="7EDA83E8"/>
    <w:rsid w:val="7F406E8E"/>
    <w:rsid w:val="7F6C2521"/>
    <w:rsid w:val="7F73B98F"/>
    <w:rsid w:val="7FBEBCFE"/>
    <w:rsid w:val="7FC29BCF"/>
    <w:rsid w:val="7FF4CB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F0F84"/>
  <w15:docId w15:val="{A669D7F9-4006-44F4-94C4-A9F93BBF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rPr>
  </w:style>
  <w:style w:type="paragraph" w:styleId="Heading1">
    <w:name w:val="heading 1"/>
    <w:basedOn w:val="Normal"/>
    <w:next w:val="Normal"/>
    <w:uiPriority w:val="9"/>
    <w:qFormat/>
    <w:pPr>
      <w:keepNext/>
      <w:keepLines/>
      <w:spacing w:before="240" w:after="0"/>
      <w:outlineLvl w:val="0"/>
    </w:pPr>
    <w:rPr>
      <w:rFonts w:eastAsia="Times New Roman"/>
      <w:b/>
      <w:bCs/>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color w:val="2F5496"/>
      <w:sz w:val="32"/>
      <w:szCs w:val="32"/>
    </w:rPr>
  </w:style>
  <w:style w:type="paragraph" w:styleId="ListParagraph">
    <w:name w:val="List Paragraph"/>
    <w:aliases w:val="Paragraphs"/>
    <w:basedOn w:val="Normal"/>
    <w:link w:val="ListParagraphChar"/>
    <w:uiPriority w:val="34"/>
    <w:qFormat/>
    <w:pPr>
      <w:ind w:left="720"/>
    </w:pPr>
  </w:style>
  <w:style w:type="character" w:customStyle="1" w:styleId="normaltextrun">
    <w:name w:val="normaltextrun"/>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paragraph" w:customStyle="1" w:styleId="Style1">
    <w:name w:val="Style1"/>
    <w:basedOn w:val="Normal"/>
    <w:link w:val="Style1Char"/>
    <w:qFormat/>
    <w:rsid w:val="00183DCB"/>
    <w:pPr>
      <w:suppressAutoHyphens w:val="0"/>
      <w:autoSpaceDN/>
      <w:spacing w:after="120" w:line="276" w:lineRule="auto"/>
      <w:ind w:left="720" w:hanging="720"/>
      <w:textAlignment w:val="auto"/>
    </w:pPr>
    <w:rPr>
      <w:rFonts w:asciiTheme="minorHAnsi" w:eastAsia="Times New Roman" w:hAnsiTheme="minorHAnsi" w:cs="Times New Roman"/>
      <w:szCs w:val="20"/>
    </w:rPr>
  </w:style>
  <w:style w:type="character" w:customStyle="1" w:styleId="Style1Char">
    <w:name w:val="Style1 Char"/>
    <w:basedOn w:val="DefaultParagraphFont"/>
    <w:link w:val="Style1"/>
    <w:rsid w:val="00183DCB"/>
    <w:rPr>
      <w:rFonts w:asciiTheme="minorHAnsi" w:eastAsia="Times New Roman" w:hAnsiTheme="minorHAnsi"/>
      <w:sz w:val="24"/>
      <w:szCs w:val="20"/>
    </w:rPr>
  </w:style>
  <w:style w:type="paragraph" w:customStyle="1" w:styleId="paragraph">
    <w:name w:val="paragraph"/>
    <w:basedOn w:val="Normal"/>
    <w:rsid w:val="00AE6123"/>
    <w:pPr>
      <w:suppressAutoHyphens w:val="0"/>
      <w:autoSpaceDN/>
      <w:spacing w:before="100" w:beforeAutospacing="1" w:after="100" w:afterAutospacing="1" w:line="240" w:lineRule="auto"/>
      <w:textAlignment w:val="auto"/>
    </w:pPr>
    <w:rPr>
      <w:rFonts w:ascii="Times New Roman" w:eastAsia="Times New Roman" w:hAnsi="Times New Roman" w:cs="Times New Roman"/>
      <w:lang w:eastAsia="en-GB"/>
    </w:rPr>
  </w:style>
  <w:style w:type="character" w:customStyle="1" w:styleId="eop">
    <w:name w:val="eop"/>
    <w:basedOn w:val="DefaultParagraphFont"/>
    <w:rsid w:val="00AE612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66D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D6A"/>
    <w:rPr>
      <w:rFonts w:ascii="Arial" w:hAnsi="Arial" w:cs="Arial"/>
      <w:sz w:val="24"/>
      <w:szCs w:val="24"/>
    </w:rPr>
  </w:style>
  <w:style w:type="paragraph" w:styleId="Footer">
    <w:name w:val="footer"/>
    <w:basedOn w:val="Normal"/>
    <w:link w:val="FooterChar"/>
    <w:unhideWhenUsed/>
    <w:rsid w:val="00566D6A"/>
    <w:pPr>
      <w:tabs>
        <w:tab w:val="center" w:pos="4513"/>
        <w:tab w:val="right" w:pos="9026"/>
      </w:tabs>
      <w:spacing w:after="0" w:line="240" w:lineRule="auto"/>
    </w:pPr>
  </w:style>
  <w:style w:type="character" w:customStyle="1" w:styleId="FooterChar">
    <w:name w:val="Footer Char"/>
    <w:basedOn w:val="DefaultParagraphFont"/>
    <w:link w:val="Footer"/>
    <w:rsid w:val="00566D6A"/>
    <w:rPr>
      <w:rFonts w:ascii="Arial" w:hAnsi="Arial" w:cs="Arial"/>
      <w:sz w:val="24"/>
      <w:szCs w:val="24"/>
    </w:rPr>
  </w:style>
  <w:style w:type="character" w:styleId="Hyperlink">
    <w:name w:val="Hyperlink"/>
    <w:uiPriority w:val="99"/>
    <w:rsid w:val="00632748"/>
    <w:rPr>
      <w:color w:val="0000FF"/>
      <w:u w:val="single"/>
    </w:rPr>
  </w:style>
  <w:style w:type="character" w:customStyle="1" w:styleId="ListParagraphChar">
    <w:name w:val="List Paragraph Char"/>
    <w:aliases w:val="Paragraphs Char"/>
    <w:link w:val="ListParagraph"/>
    <w:uiPriority w:val="34"/>
    <w:locked/>
    <w:rsid w:val="00632748"/>
    <w:rPr>
      <w:rFonts w:ascii="Arial" w:hAnsi="Arial" w:cs="Arial"/>
      <w:sz w:val="24"/>
      <w:szCs w:val="24"/>
    </w:rPr>
  </w:style>
  <w:style w:type="character" w:styleId="FootnoteReference">
    <w:name w:val="footnote reference"/>
    <w:basedOn w:val="DefaultParagraphFont"/>
    <w:semiHidden/>
    <w:unhideWhenUsed/>
    <w:rsid w:val="00632748"/>
    <w:rPr>
      <w:vertAlign w:val="superscript"/>
    </w:rPr>
  </w:style>
  <w:style w:type="character" w:styleId="UnresolvedMention">
    <w:name w:val="Unresolved Mention"/>
    <w:basedOn w:val="DefaultParagraphFont"/>
    <w:uiPriority w:val="99"/>
    <w:semiHidden/>
    <w:unhideWhenUsed/>
    <w:rsid w:val="003A51DE"/>
    <w:rPr>
      <w:color w:val="605E5C"/>
      <w:shd w:val="clear" w:color="auto" w:fill="E1DFDD"/>
    </w:rPr>
  </w:style>
  <w:style w:type="paragraph" w:styleId="Revision">
    <w:name w:val="Revision"/>
    <w:hidden/>
    <w:uiPriority w:val="99"/>
    <w:semiHidden/>
    <w:rsid w:val="00F2607A"/>
    <w:pPr>
      <w:autoSpaceDN/>
      <w:spacing w:after="0" w:line="240" w:lineRule="auto"/>
      <w:textAlignment w:val="auto"/>
    </w:pPr>
    <w:rPr>
      <w:rFonts w:ascii="Arial" w:hAnsi="Arial" w:cs="Arial"/>
      <w:sz w:val="24"/>
      <w:szCs w:val="24"/>
    </w:rPr>
  </w:style>
  <w:style w:type="paragraph" w:customStyle="1" w:styleId="Subheading">
    <w:name w:val="Subheading"/>
    <w:basedOn w:val="Style1"/>
    <w:qFormat/>
    <w:rsid w:val="00E153B6"/>
    <w:pPr>
      <w:ind w:left="0" w:firstLine="0"/>
    </w:pPr>
    <w:rPr>
      <w:i/>
    </w:rPr>
  </w:style>
  <w:style w:type="table" w:customStyle="1" w:styleId="TableGrid1">
    <w:name w:val="Table Grid1"/>
    <w:basedOn w:val="TableNormal"/>
    <w:next w:val="TableGrid"/>
    <w:uiPriority w:val="59"/>
    <w:rsid w:val="00E153B6"/>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24"/>
    <w:pPr>
      <w:suppressAutoHyphens w:val="0"/>
      <w:autoSpaceDN/>
      <w:spacing w:before="100" w:beforeAutospacing="1" w:after="100" w:afterAutospacing="1" w:line="240" w:lineRule="auto"/>
      <w:textAlignment w:val="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754">
      <w:bodyDiv w:val="1"/>
      <w:marLeft w:val="0"/>
      <w:marRight w:val="0"/>
      <w:marTop w:val="0"/>
      <w:marBottom w:val="0"/>
      <w:divBdr>
        <w:top w:val="none" w:sz="0" w:space="0" w:color="auto"/>
        <w:left w:val="none" w:sz="0" w:space="0" w:color="auto"/>
        <w:bottom w:val="none" w:sz="0" w:space="0" w:color="auto"/>
        <w:right w:val="none" w:sz="0" w:space="0" w:color="auto"/>
      </w:divBdr>
    </w:div>
    <w:div w:id="115684504">
      <w:bodyDiv w:val="1"/>
      <w:marLeft w:val="0"/>
      <w:marRight w:val="0"/>
      <w:marTop w:val="0"/>
      <w:marBottom w:val="0"/>
      <w:divBdr>
        <w:top w:val="none" w:sz="0" w:space="0" w:color="auto"/>
        <w:left w:val="none" w:sz="0" w:space="0" w:color="auto"/>
        <w:bottom w:val="none" w:sz="0" w:space="0" w:color="auto"/>
        <w:right w:val="none" w:sz="0" w:space="0" w:color="auto"/>
      </w:divBdr>
    </w:div>
    <w:div w:id="208421213">
      <w:bodyDiv w:val="1"/>
      <w:marLeft w:val="0"/>
      <w:marRight w:val="0"/>
      <w:marTop w:val="0"/>
      <w:marBottom w:val="0"/>
      <w:divBdr>
        <w:top w:val="none" w:sz="0" w:space="0" w:color="auto"/>
        <w:left w:val="none" w:sz="0" w:space="0" w:color="auto"/>
        <w:bottom w:val="none" w:sz="0" w:space="0" w:color="auto"/>
        <w:right w:val="none" w:sz="0" w:space="0" w:color="auto"/>
      </w:divBdr>
    </w:div>
    <w:div w:id="274137639">
      <w:bodyDiv w:val="1"/>
      <w:marLeft w:val="0"/>
      <w:marRight w:val="0"/>
      <w:marTop w:val="0"/>
      <w:marBottom w:val="0"/>
      <w:divBdr>
        <w:top w:val="none" w:sz="0" w:space="0" w:color="auto"/>
        <w:left w:val="none" w:sz="0" w:space="0" w:color="auto"/>
        <w:bottom w:val="none" w:sz="0" w:space="0" w:color="auto"/>
        <w:right w:val="none" w:sz="0" w:space="0" w:color="auto"/>
      </w:divBdr>
    </w:div>
    <w:div w:id="366415404">
      <w:bodyDiv w:val="1"/>
      <w:marLeft w:val="0"/>
      <w:marRight w:val="0"/>
      <w:marTop w:val="0"/>
      <w:marBottom w:val="0"/>
      <w:divBdr>
        <w:top w:val="none" w:sz="0" w:space="0" w:color="auto"/>
        <w:left w:val="none" w:sz="0" w:space="0" w:color="auto"/>
        <w:bottom w:val="none" w:sz="0" w:space="0" w:color="auto"/>
        <w:right w:val="none" w:sz="0" w:space="0" w:color="auto"/>
      </w:divBdr>
    </w:div>
    <w:div w:id="367874505">
      <w:bodyDiv w:val="1"/>
      <w:marLeft w:val="0"/>
      <w:marRight w:val="0"/>
      <w:marTop w:val="0"/>
      <w:marBottom w:val="0"/>
      <w:divBdr>
        <w:top w:val="none" w:sz="0" w:space="0" w:color="auto"/>
        <w:left w:val="none" w:sz="0" w:space="0" w:color="auto"/>
        <w:bottom w:val="none" w:sz="0" w:space="0" w:color="auto"/>
        <w:right w:val="none" w:sz="0" w:space="0" w:color="auto"/>
      </w:divBdr>
    </w:div>
    <w:div w:id="458570169">
      <w:bodyDiv w:val="1"/>
      <w:marLeft w:val="0"/>
      <w:marRight w:val="0"/>
      <w:marTop w:val="0"/>
      <w:marBottom w:val="0"/>
      <w:divBdr>
        <w:top w:val="none" w:sz="0" w:space="0" w:color="auto"/>
        <w:left w:val="none" w:sz="0" w:space="0" w:color="auto"/>
        <w:bottom w:val="none" w:sz="0" w:space="0" w:color="auto"/>
        <w:right w:val="none" w:sz="0" w:space="0" w:color="auto"/>
      </w:divBdr>
    </w:div>
    <w:div w:id="592935482">
      <w:bodyDiv w:val="1"/>
      <w:marLeft w:val="0"/>
      <w:marRight w:val="0"/>
      <w:marTop w:val="0"/>
      <w:marBottom w:val="0"/>
      <w:divBdr>
        <w:top w:val="none" w:sz="0" w:space="0" w:color="auto"/>
        <w:left w:val="none" w:sz="0" w:space="0" w:color="auto"/>
        <w:bottom w:val="none" w:sz="0" w:space="0" w:color="auto"/>
        <w:right w:val="none" w:sz="0" w:space="0" w:color="auto"/>
      </w:divBdr>
    </w:div>
    <w:div w:id="608859746">
      <w:bodyDiv w:val="1"/>
      <w:marLeft w:val="0"/>
      <w:marRight w:val="0"/>
      <w:marTop w:val="0"/>
      <w:marBottom w:val="0"/>
      <w:divBdr>
        <w:top w:val="none" w:sz="0" w:space="0" w:color="auto"/>
        <w:left w:val="none" w:sz="0" w:space="0" w:color="auto"/>
        <w:bottom w:val="none" w:sz="0" w:space="0" w:color="auto"/>
        <w:right w:val="none" w:sz="0" w:space="0" w:color="auto"/>
      </w:divBdr>
    </w:div>
    <w:div w:id="783883329">
      <w:bodyDiv w:val="1"/>
      <w:marLeft w:val="0"/>
      <w:marRight w:val="0"/>
      <w:marTop w:val="0"/>
      <w:marBottom w:val="0"/>
      <w:divBdr>
        <w:top w:val="none" w:sz="0" w:space="0" w:color="auto"/>
        <w:left w:val="none" w:sz="0" w:space="0" w:color="auto"/>
        <w:bottom w:val="none" w:sz="0" w:space="0" w:color="auto"/>
        <w:right w:val="none" w:sz="0" w:space="0" w:color="auto"/>
      </w:divBdr>
    </w:div>
    <w:div w:id="827091369">
      <w:bodyDiv w:val="1"/>
      <w:marLeft w:val="0"/>
      <w:marRight w:val="0"/>
      <w:marTop w:val="0"/>
      <w:marBottom w:val="0"/>
      <w:divBdr>
        <w:top w:val="none" w:sz="0" w:space="0" w:color="auto"/>
        <w:left w:val="none" w:sz="0" w:space="0" w:color="auto"/>
        <w:bottom w:val="none" w:sz="0" w:space="0" w:color="auto"/>
        <w:right w:val="none" w:sz="0" w:space="0" w:color="auto"/>
      </w:divBdr>
    </w:div>
    <w:div w:id="949094673">
      <w:bodyDiv w:val="1"/>
      <w:marLeft w:val="0"/>
      <w:marRight w:val="0"/>
      <w:marTop w:val="0"/>
      <w:marBottom w:val="0"/>
      <w:divBdr>
        <w:top w:val="none" w:sz="0" w:space="0" w:color="auto"/>
        <w:left w:val="none" w:sz="0" w:space="0" w:color="auto"/>
        <w:bottom w:val="none" w:sz="0" w:space="0" w:color="auto"/>
        <w:right w:val="none" w:sz="0" w:space="0" w:color="auto"/>
      </w:divBdr>
    </w:div>
    <w:div w:id="984774938">
      <w:bodyDiv w:val="1"/>
      <w:marLeft w:val="0"/>
      <w:marRight w:val="0"/>
      <w:marTop w:val="0"/>
      <w:marBottom w:val="0"/>
      <w:divBdr>
        <w:top w:val="none" w:sz="0" w:space="0" w:color="auto"/>
        <w:left w:val="none" w:sz="0" w:space="0" w:color="auto"/>
        <w:bottom w:val="none" w:sz="0" w:space="0" w:color="auto"/>
        <w:right w:val="none" w:sz="0" w:space="0" w:color="auto"/>
      </w:divBdr>
      <w:divsChild>
        <w:div w:id="215777047">
          <w:marLeft w:val="0"/>
          <w:marRight w:val="0"/>
          <w:marTop w:val="0"/>
          <w:marBottom w:val="0"/>
          <w:divBdr>
            <w:top w:val="none" w:sz="0" w:space="0" w:color="auto"/>
            <w:left w:val="none" w:sz="0" w:space="0" w:color="auto"/>
            <w:bottom w:val="none" w:sz="0" w:space="0" w:color="auto"/>
            <w:right w:val="none" w:sz="0" w:space="0" w:color="auto"/>
          </w:divBdr>
        </w:div>
      </w:divsChild>
    </w:div>
    <w:div w:id="1139416115">
      <w:bodyDiv w:val="1"/>
      <w:marLeft w:val="0"/>
      <w:marRight w:val="0"/>
      <w:marTop w:val="0"/>
      <w:marBottom w:val="0"/>
      <w:divBdr>
        <w:top w:val="none" w:sz="0" w:space="0" w:color="auto"/>
        <w:left w:val="none" w:sz="0" w:space="0" w:color="auto"/>
        <w:bottom w:val="none" w:sz="0" w:space="0" w:color="auto"/>
        <w:right w:val="none" w:sz="0" w:space="0" w:color="auto"/>
      </w:divBdr>
      <w:divsChild>
        <w:div w:id="641813068">
          <w:marLeft w:val="0"/>
          <w:marRight w:val="0"/>
          <w:marTop w:val="0"/>
          <w:marBottom w:val="0"/>
          <w:divBdr>
            <w:top w:val="none" w:sz="0" w:space="0" w:color="auto"/>
            <w:left w:val="none" w:sz="0" w:space="0" w:color="auto"/>
            <w:bottom w:val="none" w:sz="0" w:space="0" w:color="auto"/>
            <w:right w:val="none" w:sz="0" w:space="0" w:color="auto"/>
          </w:divBdr>
        </w:div>
        <w:div w:id="1520508088">
          <w:marLeft w:val="0"/>
          <w:marRight w:val="0"/>
          <w:marTop w:val="0"/>
          <w:marBottom w:val="0"/>
          <w:divBdr>
            <w:top w:val="none" w:sz="0" w:space="0" w:color="auto"/>
            <w:left w:val="none" w:sz="0" w:space="0" w:color="auto"/>
            <w:bottom w:val="none" w:sz="0" w:space="0" w:color="auto"/>
            <w:right w:val="none" w:sz="0" w:space="0" w:color="auto"/>
          </w:divBdr>
        </w:div>
      </w:divsChild>
    </w:div>
    <w:div w:id="1278442954">
      <w:bodyDiv w:val="1"/>
      <w:marLeft w:val="0"/>
      <w:marRight w:val="0"/>
      <w:marTop w:val="0"/>
      <w:marBottom w:val="0"/>
      <w:divBdr>
        <w:top w:val="none" w:sz="0" w:space="0" w:color="auto"/>
        <w:left w:val="none" w:sz="0" w:space="0" w:color="auto"/>
        <w:bottom w:val="none" w:sz="0" w:space="0" w:color="auto"/>
        <w:right w:val="none" w:sz="0" w:space="0" w:color="auto"/>
      </w:divBdr>
      <w:divsChild>
        <w:div w:id="429468010">
          <w:marLeft w:val="360"/>
          <w:marRight w:val="0"/>
          <w:marTop w:val="200"/>
          <w:marBottom w:val="0"/>
          <w:divBdr>
            <w:top w:val="none" w:sz="0" w:space="0" w:color="auto"/>
            <w:left w:val="none" w:sz="0" w:space="0" w:color="auto"/>
            <w:bottom w:val="none" w:sz="0" w:space="0" w:color="auto"/>
            <w:right w:val="none" w:sz="0" w:space="0" w:color="auto"/>
          </w:divBdr>
        </w:div>
      </w:divsChild>
    </w:div>
    <w:div w:id="1374768655">
      <w:bodyDiv w:val="1"/>
      <w:marLeft w:val="0"/>
      <w:marRight w:val="0"/>
      <w:marTop w:val="0"/>
      <w:marBottom w:val="0"/>
      <w:divBdr>
        <w:top w:val="none" w:sz="0" w:space="0" w:color="auto"/>
        <w:left w:val="none" w:sz="0" w:space="0" w:color="auto"/>
        <w:bottom w:val="none" w:sz="0" w:space="0" w:color="auto"/>
        <w:right w:val="none" w:sz="0" w:space="0" w:color="auto"/>
      </w:divBdr>
      <w:divsChild>
        <w:div w:id="997266789">
          <w:marLeft w:val="0"/>
          <w:marRight w:val="0"/>
          <w:marTop w:val="0"/>
          <w:marBottom w:val="0"/>
          <w:divBdr>
            <w:top w:val="none" w:sz="0" w:space="0" w:color="auto"/>
            <w:left w:val="none" w:sz="0" w:space="0" w:color="auto"/>
            <w:bottom w:val="none" w:sz="0" w:space="0" w:color="auto"/>
            <w:right w:val="none" w:sz="0" w:space="0" w:color="auto"/>
          </w:divBdr>
        </w:div>
      </w:divsChild>
    </w:div>
    <w:div w:id="1509952362">
      <w:bodyDiv w:val="1"/>
      <w:marLeft w:val="0"/>
      <w:marRight w:val="0"/>
      <w:marTop w:val="0"/>
      <w:marBottom w:val="0"/>
      <w:divBdr>
        <w:top w:val="none" w:sz="0" w:space="0" w:color="auto"/>
        <w:left w:val="none" w:sz="0" w:space="0" w:color="auto"/>
        <w:bottom w:val="none" w:sz="0" w:space="0" w:color="auto"/>
        <w:right w:val="none" w:sz="0" w:space="0" w:color="auto"/>
      </w:divBdr>
    </w:div>
    <w:div w:id="1576816463">
      <w:bodyDiv w:val="1"/>
      <w:marLeft w:val="0"/>
      <w:marRight w:val="0"/>
      <w:marTop w:val="0"/>
      <w:marBottom w:val="0"/>
      <w:divBdr>
        <w:top w:val="none" w:sz="0" w:space="0" w:color="auto"/>
        <w:left w:val="none" w:sz="0" w:space="0" w:color="auto"/>
        <w:bottom w:val="none" w:sz="0" w:space="0" w:color="auto"/>
        <w:right w:val="none" w:sz="0" w:space="0" w:color="auto"/>
      </w:divBdr>
    </w:div>
    <w:div w:id="1693610277">
      <w:bodyDiv w:val="1"/>
      <w:marLeft w:val="0"/>
      <w:marRight w:val="0"/>
      <w:marTop w:val="0"/>
      <w:marBottom w:val="0"/>
      <w:divBdr>
        <w:top w:val="none" w:sz="0" w:space="0" w:color="auto"/>
        <w:left w:val="none" w:sz="0" w:space="0" w:color="auto"/>
        <w:bottom w:val="none" w:sz="0" w:space="0" w:color="auto"/>
        <w:right w:val="none" w:sz="0" w:space="0" w:color="auto"/>
      </w:divBdr>
    </w:div>
    <w:div w:id="1785348217">
      <w:bodyDiv w:val="1"/>
      <w:marLeft w:val="0"/>
      <w:marRight w:val="0"/>
      <w:marTop w:val="0"/>
      <w:marBottom w:val="0"/>
      <w:divBdr>
        <w:top w:val="none" w:sz="0" w:space="0" w:color="auto"/>
        <w:left w:val="none" w:sz="0" w:space="0" w:color="auto"/>
        <w:bottom w:val="none" w:sz="0" w:space="0" w:color="auto"/>
        <w:right w:val="none" w:sz="0" w:space="0" w:color="auto"/>
      </w:divBdr>
    </w:div>
    <w:div w:id="1794247534">
      <w:bodyDiv w:val="1"/>
      <w:marLeft w:val="0"/>
      <w:marRight w:val="0"/>
      <w:marTop w:val="0"/>
      <w:marBottom w:val="0"/>
      <w:divBdr>
        <w:top w:val="none" w:sz="0" w:space="0" w:color="auto"/>
        <w:left w:val="none" w:sz="0" w:space="0" w:color="auto"/>
        <w:bottom w:val="none" w:sz="0" w:space="0" w:color="auto"/>
        <w:right w:val="none" w:sz="0" w:space="0" w:color="auto"/>
      </w:divBdr>
      <w:divsChild>
        <w:div w:id="287971853">
          <w:marLeft w:val="0"/>
          <w:marRight w:val="0"/>
          <w:marTop w:val="0"/>
          <w:marBottom w:val="0"/>
          <w:divBdr>
            <w:top w:val="none" w:sz="0" w:space="0" w:color="auto"/>
            <w:left w:val="none" w:sz="0" w:space="0" w:color="auto"/>
            <w:bottom w:val="none" w:sz="0" w:space="0" w:color="auto"/>
            <w:right w:val="none" w:sz="0" w:space="0" w:color="auto"/>
          </w:divBdr>
        </w:div>
      </w:divsChild>
    </w:div>
    <w:div w:id="1830052905">
      <w:bodyDiv w:val="1"/>
      <w:marLeft w:val="0"/>
      <w:marRight w:val="0"/>
      <w:marTop w:val="0"/>
      <w:marBottom w:val="0"/>
      <w:divBdr>
        <w:top w:val="none" w:sz="0" w:space="0" w:color="auto"/>
        <w:left w:val="none" w:sz="0" w:space="0" w:color="auto"/>
        <w:bottom w:val="none" w:sz="0" w:space="0" w:color="auto"/>
        <w:right w:val="none" w:sz="0" w:space="0" w:color="auto"/>
      </w:divBdr>
      <w:divsChild>
        <w:div w:id="998729972">
          <w:marLeft w:val="0"/>
          <w:marRight w:val="0"/>
          <w:marTop w:val="0"/>
          <w:marBottom w:val="0"/>
          <w:divBdr>
            <w:top w:val="none" w:sz="0" w:space="0" w:color="auto"/>
            <w:left w:val="none" w:sz="0" w:space="0" w:color="auto"/>
            <w:bottom w:val="none" w:sz="0" w:space="0" w:color="auto"/>
            <w:right w:val="none" w:sz="0" w:space="0" w:color="auto"/>
          </w:divBdr>
        </w:div>
      </w:divsChild>
    </w:div>
    <w:div w:id="1845122127">
      <w:bodyDiv w:val="1"/>
      <w:marLeft w:val="0"/>
      <w:marRight w:val="0"/>
      <w:marTop w:val="0"/>
      <w:marBottom w:val="0"/>
      <w:divBdr>
        <w:top w:val="none" w:sz="0" w:space="0" w:color="auto"/>
        <w:left w:val="none" w:sz="0" w:space="0" w:color="auto"/>
        <w:bottom w:val="none" w:sz="0" w:space="0" w:color="auto"/>
        <w:right w:val="none" w:sz="0" w:space="0" w:color="auto"/>
      </w:divBdr>
    </w:div>
    <w:div w:id="2006738340">
      <w:bodyDiv w:val="1"/>
      <w:marLeft w:val="0"/>
      <w:marRight w:val="0"/>
      <w:marTop w:val="0"/>
      <w:marBottom w:val="0"/>
      <w:divBdr>
        <w:top w:val="none" w:sz="0" w:space="0" w:color="auto"/>
        <w:left w:val="none" w:sz="0" w:space="0" w:color="auto"/>
        <w:bottom w:val="none" w:sz="0" w:space="0" w:color="auto"/>
        <w:right w:val="none" w:sz="0" w:space="0" w:color="auto"/>
      </w:divBdr>
      <w:divsChild>
        <w:div w:id="1764451481">
          <w:marLeft w:val="0"/>
          <w:marRight w:val="0"/>
          <w:marTop w:val="0"/>
          <w:marBottom w:val="0"/>
          <w:divBdr>
            <w:top w:val="none" w:sz="0" w:space="0" w:color="auto"/>
            <w:left w:val="none" w:sz="0" w:space="0" w:color="auto"/>
            <w:bottom w:val="none" w:sz="0" w:space="0" w:color="auto"/>
            <w:right w:val="none" w:sz="0" w:space="0" w:color="auto"/>
          </w:divBdr>
          <w:divsChild>
            <w:div w:id="44915206">
              <w:marLeft w:val="0"/>
              <w:marRight w:val="0"/>
              <w:marTop w:val="0"/>
              <w:marBottom w:val="0"/>
              <w:divBdr>
                <w:top w:val="none" w:sz="0" w:space="0" w:color="auto"/>
                <w:left w:val="none" w:sz="0" w:space="0" w:color="auto"/>
                <w:bottom w:val="none" w:sz="0" w:space="0" w:color="auto"/>
                <w:right w:val="none" w:sz="0" w:space="0" w:color="auto"/>
              </w:divBdr>
              <w:divsChild>
                <w:div w:id="249851765">
                  <w:marLeft w:val="0"/>
                  <w:marRight w:val="0"/>
                  <w:marTop w:val="0"/>
                  <w:marBottom w:val="0"/>
                  <w:divBdr>
                    <w:top w:val="none" w:sz="0" w:space="0" w:color="auto"/>
                    <w:left w:val="none" w:sz="0" w:space="0" w:color="auto"/>
                    <w:bottom w:val="none" w:sz="0" w:space="0" w:color="auto"/>
                    <w:right w:val="none" w:sz="0" w:space="0" w:color="auto"/>
                  </w:divBdr>
                </w:div>
              </w:divsChild>
            </w:div>
            <w:div w:id="113640500">
              <w:marLeft w:val="0"/>
              <w:marRight w:val="0"/>
              <w:marTop w:val="0"/>
              <w:marBottom w:val="0"/>
              <w:divBdr>
                <w:top w:val="none" w:sz="0" w:space="0" w:color="auto"/>
                <w:left w:val="none" w:sz="0" w:space="0" w:color="auto"/>
                <w:bottom w:val="none" w:sz="0" w:space="0" w:color="auto"/>
                <w:right w:val="none" w:sz="0" w:space="0" w:color="auto"/>
              </w:divBdr>
              <w:divsChild>
                <w:div w:id="1391148210">
                  <w:marLeft w:val="0"/>
                  <w:marRight w:val="0"/>
                  <w:marTop w:val="0"/>
                  <w:marBottom w:val="0"/>
                  <w:divBdr>
                    <w:top w:val="none" w:sz="0" w:space="0" w:color="auto"/>
                    <w:left w:val="none" w:sz="0" w:space="0" w:color="auto"/>
                    <w:bottom w:val="none" w:sz="0" w:space="0" w:color="auto"/>
                    <w:right w:val="none" w:sz="0" w:space="0" w:color="auto"/>
                  </w:divBdr>
                </w:div>
              </w:divsChild>
            </w:div>
            <w:div w:id="177157593">
              <w:marLeft w:val="0"/>
              <w:marRight w:val="0"/>
              <w:marTop w:val="0"/>
              <w:marBottom w:val="0"/>
              <w:divBdr>
                <w:top w:val="none" w:sz="0" w:space="0" w:color="auto"/>
                <w:left w:val="none" w:sz="0" w:space="0" w:color="auto"/>
                <w:bottom w:val="none" w:sz="0" w:space="0" w:color="auto"/>
                <w:right w:val="none" w:sz="0" w:space="0" w:color="auto"/>
              </w:divBdr>
              <w:divsChild>
                <w:div w:id="1107577795">
                  <w:marLeft w:val="0"/>
                  <w:marRight w:val="0"/>
                  <w:marTop w:val="0"/>
                  <w:marBottom w:val="0"/>
                  <w:divBdr>
                    <w:top w:val="none" w:sz="0" w:space="0" w:color="auto"/>
                    <w:left w:val="none" w:sz="0" w:space="0" w:color="auto"/>
                    <w:bottom w:val="none" w:sz="0" w:space="0" w:color="auto"/>
                    <w:right w:val="none" w:sz="0" w:space="0" w:color="auto"/>
                  </w:divBdr>
                </w:div>
              </w:divsChild>
            </w:div>
            <w:div w:id="238907541">
              <w:marLeft w:val="0"/>
              <w:marRight w:val="0"/>
              <w:marTop w:val="0"/>
              <w:marBottom w:val="0"/>
              <w:divBdr>
                <w:top w:val="none" w:sz="0" w:space="0" w:color="auto"/>
                <w:left w:val="none" w:sz="0" w:space="0" w:color="auto"/>
                <w:bottom w:val="none" w:sz="0" w:space="0" w:color="auto"/>
                <w:right w:val="none" w:sz="0" w:space="0" w:color="auto"/>
              </w:divBdr>
              <w:divsChild>
                <w:div w:id="221991418">
                  <w:marLeft w:val="0"/>
                  <w:marRight w:val="0"/>
                  <w:marTop w:val="0"/>
                  <w:marBottom w:val="0"/>
                  <w:divBdr>
                    <w:top w:val="none" w:sz="0" w:space="0" w:color="auto"/>
                    <w:left w:val="none" w:sz="0" w:space="0" w:color="auto"/>
                    <w:bottom w:val="none" w:sz="0" w:space="0" w:color="auto"/>
                    <w:right w:val="none" w:sz="0" w:space="0" w:color="auto"/>
                  </w:divBdr>
                </w:div>
              </w:divsChild>
            </w:div>
            <w:div w:id="250551699">
              <w:marLeft w:val="0"/>
              <w:marRight w:val="0"/>
              <w:marTop w:val="0"/>
              <w:marBottom w:val="0"/>
              <w:divBdr>
                <w:top w:val="none" w:sz="0" w:space="0" w:color="auto"/>
                <w:left w:val="none" w:sz="0" w:space="0" w:color="auto"/>
                <w:bottom w:val="none" w:sz="0" w:space="0" w:color="auto"/>
                <w:right w:val="none" w:sz="0" w:space="0" w:color="auto"/>
              </w:divBdr>
              <w:divsChild>
                <w:div w:id="1403799310">
                  <w:marLeft w:val="0"/>
                  <w:marRight w:val="0"/>
                  <w:marTop w:val="0"/>
                  <w:marBottom w:val="0"/>
                  <w:divBdr>
                    <w:top w:val="none" w:sz="0" w:space="0" w:color="auto"/>
                    <w:left w:val="none" w:sz="0" w:space="0" w:color="auto"/>
                    <w:bottom w:val="none" w:sz="0" w:space="0" w:color="auto"/>
                    <w:right w:val="none" w:sz="0" w:space="0" w:color="auto"/>
                  </w:divBdr>
                </w:div>
              </w:divsChild>
            </w:div>
            <w:div w:id="345521750">
              <w:marLeft w:val="0"/>
              <w:marRight w:val="0"/>
              <w:marTop w:val="0"/>
              <w:marBottom w:val="0"/>
              <w:divBdr>
                <w:top w:val="none" w:sz="0" w:space="0" w:color="auto"/>
                <w:left w:val="none" w:sz="0" w:space="0" w:color="auto"/>
                <w:bottom w:val="none" w:sz="0" w:space="0" w:color="auto"/>
                <w:right w:val="none" w:sz="0" w:space="0" w:color="auto"/>
              </w:divBdr>
              <w:divsChild>
                <w:div w:id="691418773">
                  <w:marLeft w:val="0"/>
                  <w:marRight w:val="0"/>
                  <w:marTop w:val="0"/>
                  <w:marBottom w:val="0"/>
                  <w:divBdr>
                    <w:top w:val="none" w:sz="0" w:space="0" w:color="auto"/>
                    <w:left w:val="none" w:sz="0" w:space="0" w:color="auto"/>
                    <w:bottom w:val="none" w:sz="0" w:space="0" w:color="auto"/>
                    <w:right w:val="none" w:sz="0" w:space="0" w:color="auto"/>
                  </w:divBdr>
                </w:div>
              </w:divsChild>
            </w:div>
            <w:div w:id="398671185">
              <w:marLeft w:val="0"/>
              <w:marRight w:val="0"/>
              <w:marTop w:val="0"/>
              <w:marBottom w:val="0"/>
              <w:divBdr>
                <w:top w:val="none" w:sz="0" w:space="0" w:color="auto"/>
                <w:left w:val="none" w:sz="0" w:space="0" w:color="auto"/>
                <w:bottom w:val="none" w:sz="0" w:space="0" w:color="auto"/>
                <w:right w:val="none" w:sz="0" w:space="0" w:color="auto"/>
              </w:divBdr>
              <w:divsChild>
                <w:div w:id="356586271">
                  <w:marLeft w:val="0"/>
                  <w:marRight w:val="0"/>
                  <w:marTop w:val="0"/>
                  <w:marBottom w:val="0"/>
                  <w:divBdr>
                    <w:top w:val="none" w:sz="0" w:space="0" w:color="auto"/>
                    <w:left w:val="none" w:sz="0" w:space="0" w:color="auto"/>
                    <w:bottom w:val="none" w:sz="0" w:space="0" w:color="auto"/>
                    <w:right w:val="none" w:sz="0" w:space="0" w:color="auto"/>
                  </w:divBdr>
                </w:div>
              </w:divsChild>
            </w:div>
            <w:div w:id="488057990">
              <w:marLeft w:val="0"/>
              <w:marRight w:val="0"/>
              <w:marTop w:val="0"/>
              <w:marBottom w:val="0"/>
              <w:divBdr>
                <w:top w:val="none" w:sz="0" w:space="0" w:color="auto"/>
                <w:left w:val="none" w:sz="0" w:space="0" w:color="auto"/>
                <w:bottom w:val="none" w:sz="0" w:space="0" w:color="auto"/>
                <w:right w:val="none" w:sz="0" w:space="0" w:color="auto"/>
              </w:divBdr>
              <w:divsChild>
                <w:div w:id="129062038">
                  <w:marLeft w:val="0"/>
                  <w:marRight w:val="0"/>
                  <w:marTop w:val="0"/>
                  <w:marBottom w:val="0"/>
                  <w:divBdr>
                    <w:top w:val="none" w:sz="0" w:space="0" w:color="auto"/>
                    <w:left w:val="none" w:sz="0" w:space="0" w:color="auto"/>
                    <w:bottom w:val="none" w:sz="0" w:space="0" w:color="auto"/>
                    <w:right w:val="none" w:sz="0" w:space="0" w:color="auto"/>
                  </w:divBdr>
                </w:div>
              </w:divsChild>
            </w:div>
            <w:div w:id="513350903">
              <w:marLeft w:val="0"/>
              <w:marRight w:val="0"/>
              <w:marTop w:val="0"/>
              <w:marBottom w:val="0"/>
              <w:divBdr>
                <w:top w:val="none" w:sz="0" w:space="0" w:color="auto"/>
                <w:left w:val="none" w:sz="0" w:space="0" w:color="auto"/>
                <w:bottom w:val="none" w:sz="0" w:space="0" w:color="auto"/>
                <w:right w:val="none" w:sz="0" w:space="0" w:color="auto"/>
              </w:divBdr>
              <w:divsChild>
                <w:div w:id="2025278520">
                  <w:marLeft w:val="0"/>
                  <w:marRight w:val="0"/>
                  <w:marTop w:val="0"/>
                  <w:marBottom w:val="0"/>
                  <w:divBdr>
                    <w:top w:val="none" w:sz="0" w:space="0" w:color="auto"/>
                    <w:left w:val="none" w:sz="0" w:space="0" w:color="auto"/>
                    <w:bottom w:val="none" w:sz="0" w:space="0" w:color="auto"/>
                    <w:right w:val="none" w:sz="0" w:space="0" w:color="auto"/>
                  </w:divBdr>
                </w:div>
              </w:divsChild>
            </w:div>
            <w:div w:id="518273475">
              <w:marLeft w:val="0"/>
              <w:marRight w:val="0"/>
              <w:marTop w:val="0"/>
              <w:marBottom w:val="0"/>
              <w:divBdr>
                <w:top w:val="none" w:sz="0" w:space="0" w:color="auto"/>
                <w:left w:val="none" w:sz="0" w:space="0" w:color="auto"/>
                <w:bottom w:val="none" w:sz="0" w:space="0" w:color="auto"/>
                <w:right w:val="none" w:sz="0" w:space="0" w:color="auto"/>
              </w:divBdr>
              <w:divsChild>
                <w:div w:id="1759717596">
                  <w:marLeft w:val="0"/>
                  <w:marRight w:val="0"/>
                  <w:marTop w:val="0"/>
                  <w:marBottom w:val="0"/>
                  <w:divBdr>
                    <w:top w:val="none" w:sz="0" w:space="0" w:color="auto"/>
                    <w:left w:val="none" w:sz="0" w:space="0" w:color="auto"/>
                    <w:bottom w:val="none" w:sz="0" w:space="0" w:color="auto"/>
                    <w:right w:val="none" w:sz="0" w:space="0" w:color="auto"/>
                  </w:divBdr>
                </w:div>
              </w:divsChild>
            </w:div>
            <w:div w:id="609356106">
              <w:marLeft w:val="0"/>
              <w:marRight w:val="0"/>
              <w:marTop w:val="0"/>
              <w:marBottom w:val="0"/>
              <w:divBdr>
                <w:top w:val="none" w:sz="0" w:space="0" w:color="auto"/>
                <w:left w:val="none" w:sz="0" w:space="0" w:color="auto"/>
                <w:bottom w:val="none" w:sz="0" w:space="0" w:color="auto"/>
                <w:right w:val="none" w:sz="0" w:space="0" w:color="auto"/>
              </w:divBdr>
              <w:divsChild>
                <w:div w:id="1283998742">
                  <w:marLeft w:val="0"/>
                  <w:marRight w:val="0"/>
                  <w:marTop w:val="0"/>
                  <w:marBottom w:val="0"/>
                  <w:divBdr>
                    <w:top w:val="none" w:sz="0" w:space="0" w:color="auto"/>
                    <w:left w:val="none" w:sz="0" w:space="0" w:color="auto"/>
                    <w:bottom w:val="none" w:sz="0" w:space="0" w:color="auto"/>
                    <w:right w:val="none" w:sz="0" w:space="0" w:color="auto"/>
                  </w:divBdr>
                </w:div>
              </w:divsChild>
            </w:div>
            <w:div w:id="675965371">
              <w:marLeft w:val="0"/>
              <w:marRight w:val="0"/>
              <w:marTop w:val="0"/>
              <w:marBottom w:val="0"/>
              <w:divBdr>
                <w:top w:val="none" w:sz="0" w:space="0" w:color="auto"/>
                <w:left w:val="none" w:sz="0" w:space="0" w:color="auto"/>
                <w:bottom w:val="none" w:sz="0" w:space="0" w:color="auto"/>
                <w:right w:val="none" w:sz="0" w:space="0" w:color="auto"/>
              </w:divBdr>
              <w:divsChild>
                <w:div w:id="1674263150">
                  <w:marLeft w:val="0"/>
                  <w:marRight w:val="0"/>
                  <w:marTop w:val="0"/>
                  <w:marBottom w:val="0"/>
                  <w:divBdr>
                    <w:top w:val="none" w:sz="0" w:space="0" w:color="auto"/>
                    <w:left w:val="none" w:sz="0" w:space="0" w:color="auto"/>
                    <w:bottom w:val="none" w:sz="0" w:space="0" w:color="auto"/>
                    <w:right w:val="none" w:sz="0" w:space="0" w:color="auto"/>
                  </w:divBdr>
                </w:div>
              </w:divsChild>
            </w:div>
            <w:div w:id="855583344">
              <w:marLeft w:val="0"/>
              <w:marRight w:val="0"/>
              <w:marTop w:val="0"/>
              <w:marBottom w:val="0"/>
              <w:divBdr>
                <w:top w:val="none" w:sz="0" w:space="0" w:color="auto"/>
                <w:left w:val="none" w:sz="0" w:space="0" w:color="auto"/>
                <w:bottom w:val="none" w:sz="0" w:space="0" w:color="auto"/>
                <w:right w:val="none" w:sz="0" w:space="0" w:color="auto"/>
              </w:divBdr>
              <w:divsChild>
                <w:div w:id="1956281517">
                  <w:marLeft w:val="0"/>
                  <w:marRight w:val="0"/>
                  <w:marTop w:val="0"/>
                  <w:marBottom w:val="0"/>
                  <w:divBdr>
                    <w:top w:val="none" w:sz="0" w:space="0" w:color="auto"/>
                    <w:left w:val="none" w:sz="0" w:space="0" w:color="auto"/>
                    <w:bottom w:val="none" w:sz="0" w:space="0" w:color="auto"/>
                    <w:right w:val="none" w:sz="0" w:space="0" w:color="auto"/>
                  </w:divBdr>
                </w:div>
              </w:divsChild>
            </w:div>
            <w:div w:id="934436350">
              <w:marLeft w:val="0"/>
              <w:marRight w:val="0"/>
              <w:marTop w:val="0"/>
              <w:marBottom w:val="0"/>
              <w:divBdr>
                <w:top w:val="none" w:sz="0" w:space="0" w:color="auto"/>
                <w:left w:val="none" w:sz="0" w:space="0" w:color="auto"/>
                <w:bottom w:val="none" w:sz="0" w:space="0" w:color="auto"/>
                <w:right w:val="none" w:sz="0" w:space="0" w:color="auto"/>
              </w:divBdr>
              <w:divsChild>
                <w:div w:id="212625003">
                  <w:marLeft w:val="0"/>
                  <w:marRight w:val="0"/>
                  <w:marTop w:val="0"/>
                  <w:marBottom w:val="0"/>
                  <w:divBdr>
                    <w:top w:val="none" w:sz="0" w:space="0" w:color="auto"/>
                    <w:left w:val="none" w:sz="0" w:space="0" w:color="auto"/>
                    <w:bottom w:val="none" w:sz="0" w:space="0" w:color="auto"/>
                    <w:right w:val="none" w:sz="0" w:space="0" w:color="auto"/>
                  </w:divBdr>
                </w:div>
              </w:divsChild>
            </w:div>
            <w:div w:id="1011836299">
              <w:marLeft w:val="0"/>
              <w:marRight w:val="0"/>
              <w:marTop w:val="0"/>
              <w:marBottom w:val="0"/>
              <w:divBdr>
                <w:top w:val="none" w:sz="0" w:space="0" w:color="auto"/>
                <w:left w:val="none" w:sz="0" w:space="0" w:color="auto"/>
                <w:bottom w:val="none" w:sz="0" w:space="0" w:color="auto"/>
                <w:right w:val="none" w:sz="0" w:space="0" w:color="auto"/>
              </w:divBdr>
              <w:divsChild>
                <w:div w:id="645360442">
                  <w:marLeft w:val="0"/>
                  <w:marRight w:val="0"/>
                  <w:marTop w:val="0"/>
                  <w:marBottom w:val="0"/>
                  <w:divBdr>
                    <w:top w:val="none" w:sz="0" w:space="0" w:color="auto"/>
                    <w:left w:val="none" w:sz="0" w:space="0" w:color="auto"/>
                    <w:bottom w:val="none" w:sz="0" w:space="0" w:color="auto"/>
                    <w:right w:val="none" w:sz="0" w:space="0" w:color="auto"/>
                  </w:divBdr>
                </w:div>
              </w:divsChild>
            </w:div>
            <w:div w:id="1075471983">
              <w:marLeft w:val="0"/>
              <w:marRight w:val="0"/>
              <w:marTop w:val="0"/>
              <w:marBottom w:val="0"/>
              <w:divBdr>
                <w:top w:val="none" w:sz="0" w:space="0" w:color="auto"/>
                <w:left w:val="none" w:sz="0" w:space="0" w:color="auto"/>
                <w:bottom w:val="none" w:sz="0" w:space="0" w:color="auto"/>
                <w:right w:val="none" w:sz="0" w:space="0" w:color="auto"/>
              </w:divBdr>
              <w:divsChild>
                <w:div w:id="1554123425">
                  <w:marLeft w:val="0"/>
                  <w:marRight w:val="0"/>
                  <w:marTop w:val="0"/>
                  <w:marBottom w:val="0"/>
                  <w:divBdr>
                    <w:top w:val="none" w:sz="0" w:space="0" w:color="auto"/>
                    <w:left w:val="none" w:sz="0" w:space="0" w:color="auto"/>
                    <w:bottom w:val="none" w:sz="0" w:space="0" w:color="auto"/>
                    <w:right w:val="none" w:sz="0" w:space="0" w:color="auto"/>
                  </w:divBdr>
                </w:div>
              </w:divsChild>
            </w:div>
            <w:div w:id="1100879749">
              <w:marLeft w:val="0"/>
              <w:marRight w:val="0"/>
              <w:marTop w:val="0"/>
              <w:marBottom w:val="0"/>
              <w:divBdr>
                <w:top w:val="none" w:sz="0" w:space="0" w:color="auto"/>
                <w:left w:val="none" w:sz="0" w:space="0" w:color="auto"/>
                <w:bottom w:val="none" w:sz="0" w:space="0" w:color="auto"/>
                <w:right w:val="none" w:sz="0" w:space="0" w:color="auto"/>
              </w:divBdr>
              <w:divsChild>
                <w:div w:id="1564634378">
                  <w:marLeft w:val="0"/>
                  <w:marRight w:val="0"/>
                  <w:marTop w:val="0"/>
                  <w:marBottom w:val="0"/>
                  <w:divBdr>
                    <w:top w:val="none" w:sz="0" w:space="0" w:color="auto"/>
                    <w:left w:val="none" w:sz="0" w:space="0" w:color="auto"/>
                    <w:bottom w:val="none" w:sz="0" w:space="0" w:color="auto"/>
                    <w:right w:val="none" w:sz="0" w:space="0" w:color="auto"/>
                  </w:divBdr>
                </w:div>
              </w:divsChild>
            </w:div>
            <w:div w:id="1156385469">
              <w:marLeft w:val="0"/>
              <w:marRight w:val="0"/>
              <w:marTop w:val="0"/>
              <w:marBottom w:val="0"/>
              <w:divBdr>
                <w:top w:val="none" w:sz="0" w:space="0" w:color="auto"/>
                <w:left w:val="none" w:sz="0" w:space="0" w:color="auto"/>
                <w:bottom w:val="none" w:sz="0" w:space="0" w:color="auto"/>
                <w:right w:val="none" w:sz="0" w:space="0" w:color="auto"/>
              </w:divBdr>
              <w:divsChild>
                <w:div w:id="1590652030">
                  <w:marLeft w:val="0"/>
                  <w:marRight w:val="0"/>
                  <w:marTop w:val="0"/>
                  <w:marBottom w:val="0"/>
                  <w:divBdr>
                    <w:top w:val="none" w:sz="0" w:space="0" w:color="auto"/>
                    <w:left w:val="none" w:sz="0" w:space="0" w:color="auto"/>
                    <w:bottom w:val="none" w:sz="0" w:space="0" w:color="auto"/>
                    <w:right w:val="none" w:sz="0" w:space="0" w:color="auto"/>
                  </w:divBdr>
                </w:div>
              </w:divsChild>
            </w:div>
            <w:div w:id="1477067343">
              <w:marLeft w:val="0"/>
              <w:marRight w:val="0"/>
              <w:marTop w:val="0"/>
              <w:marBottom w:val="0"/>
              <w:divBdr>
                <w:top w:val="none" w:sz="0" w:space="0" w:color="auto"/>
                <w:left w:val="none" w:sz="0" w:space="0" w:color="auto"/>
                <w:bottom w:val="none" w:sz="0" w:space="0" w:color="auto"/>
                <w:right w:val="none" w:sz="0" w:space="0" w:color="auto"/>
              </w:divBdr>
              <w:divsChild>
                <w:div w:id="1816994954">
                  <w:marLeft w:val="0"/>
                  <w:marRight w:val="0"/>
                  <w:marTop w:val="0"/>
                  <w:marBottom w:val="0"/>
                  <w:divBdr>
                    <w:top w:val="none" w:sz="0" w:space="0" w:color="auto"/>
                    <w:left w:val="none" w:sz="0" w:space="0" w:color="auto"/>
                    <w:bottom w:val="none" w:sz="0" w:space="0" w:color="auto"/>
                    <w:right w:val="none" w:sz="0" w:space="0" w:color="auto"/>
                  </w:divBdr>
                </w:div>
              </w:divsChild>
            </w:div>
            <w:div w:id="1733118556">
              <w:marLeft w:val="0"/>
              <w:marRight w:val="0"/>
              <w:marTop w:val="0"/>
              <w:marBottom w:val="0"/>
              <w:divBdr>
                <w:top w:val="none" w:sz="0" w:space="0" w:color="auto"/>
                <w:left w:val="none" w:sz="0" w:space="0" w:color="auto"/>
                <w:bottom w:val="none" w:sz="0" w:space="0" w:color="auto"/>
                <w:right w:val="none" w:sz="0" w:space="0" w:color="auto"/>
              </w:divBdr>
              <w:divsChild>
                <w:div w:id="351809478">
                  <w:marLeft w:val="0"/>
                  <w:marRight w:val="0"/>
                  <w:marTop w:val="0"/>
                  <w:marBottom w:val="0"/>
                  <w:divBdr>
                    <w:top w:val="none" w:sz="0" w:space="0" w:color="auto"/>
                    <w:left w:val="none" w:sz="0" w:space="0" w:color="auto"/>
                    <w:bottom w:val="none" w:sz="0" w:space="0" w:color="auto"/>
                    <w:right w:val="none" w:sz="0" w:space="0" w:color="auto"/>
                  </w:divBdr>
                </w:div>
              </w:divsChild>
            </w:div>
            <w:div w:id="1745640608">
              <w:marLeft w:val="0"/>
              <w:marRight w:val="0"/>
              <w:marTop w:val="0"/>
              <w:marBottom w:val="0"/>
              <w:divBdr>
                <w:top w:val="none" w:sz="0" w:space="0" w:color="auto"/>
                <w:left w:val="none" w:sz="0" w:space="0" w:color="auto"/>
                <w:bottom w:val="none" w:sz="0" w:space="0" w:color="auto"/>
                <w:right w:val="none" w:sz="0" w:space="0" w:color="auto"/>
              </w:divBdr>
              <w:divsChild>
                <w:div w:id="1270696444">
                  <w:marLeft w:val="0"/>
                  <w:marRight w:val="0"/>
                  <w:marTop w:val="0"/>
                  <w:marBottom w:val="0"/>
                  <w:divBdr>
                    <w:top w:val="none" w:sz="0" w:space="0" w:color="auto"/>
                    <w:left w:val="none" w:sz="0" w:space="0" w:color="auto"/>
                    <w:bottom w:val="none" w:sz="0" w:space="0" w:color="auto"/>
                    <w:right w:val="none" w:sz="0" w:space="0" w:color="auto"/>
                  </w:divBdr>
                </w:div>
              </w:divsChild>
            </w:div>
            <w:div w:id="1841583340">
              <w:marLeft w:val="0"/>
              <w:marRight w:val="0"/>
              <w:marTop w:val="0"/>
              <w:marBottom w:val="0"/>
              <w:divBdr>
                <w:top w:val="none" w:sz="0" w:space="0" w:color="auto"/>
                <w:left w:val="none" w:sz="0" w:space="0" w:color="auto"/>
                <w:bottom w:val="none" w:sz="0" w:space="0" w:color="auto"/>
                <w:right w:val="none" w:sz="0" w:space="0" w:color="auto"/>
              </w:divBdr>
              <w:divsChild>
                <w:div w:id="574703510">
                  <w:marLeft w:val="0"/>
                  <w:marRight w:val="0"/>
                  <w:marTop w:val="0"/>
                  <w:marBottom w:val="0"/>
                  <w:divBdr>
                    <w:top w:val="none" w:sz="0" w:space="0" w:color="auto"/>
                    <w:left w:val="none" w:sz="0" w:space="0" w:color="auto"/>
                    <w:bottom w:val="none" w:sz="0" w:space="0" w:color="auto"/>
                    <w:right w:val="none" w:sz="0" w:space="0" w:color="auto"/>
                  </w:divBdr>
                </w:div>
                <w:div w:id="1103038736">
                  <w:marLeft w:val="0"/>
                  <w:marRight w:val="0"/>
                  <w:marTop w:val="0"/>
                  <w:marBottom w:val="0"/>
                  <w:divBdr>
                    <w:top w:val="none" w:sz="0" w:space="0" w:color="auto"/>
                    <w:left w:val="none" w:sz="0" w:space="0" w:color="auto"/>
                    <w:bottom w:val="none" w:sz="0" w:space="0" w:color="auto"/>
                    <w:right w:val="none" w:sz="0" w:space="0" w:color="auto"/>
                  </w:divBdr>
                </w:div>
              </w:divsChild>
            </w:div>
            <w:div w:id="1875729146">
              <w:marLeft w:val="0"/>
              <w:marRight w:val="0"/>
              <w:marTop w:val="0"/>
              <w:marBottom w:val="0"/>
              <w:divBdr>
                <w:top w:val="none" w:sz="0" w:space="0" w:color="auto"/>
                <w:left w:val="none" w:sz="0" w:space="0" w:color="auto"/>
                <w:bottom w:val="none" w:sz="0" w:space="0" w:color="auto"/>
                <w:right w:val="none" w:sz="0" w:space="0" w:color="auto"/>
              </w:divBdr>
              <w:divsChild>
                <w:div w:id="762725213">
                  <w:marLeft w:val="0"/>
                  <w:marRight w:val="0"/>
                  <w:marTop w:val="0"/>
                  <w:marBottom w:val="0"/>
                  <w:divBdr>
                    <w:top w:val="none" w:sz="0" w:space="0" w:color="auto"/>
                    <w:left w:val="none" w:sz="0" w:space="0" w:color="auto"/>
                    <w:bottom w:val="none" w:sz="0" w:space="0" w:color="auto"/>
                    <w:right w:val="none" w:sz="0" w:space="0" w:color="auto"/>
                  </w:divBdr>
                </w:div>
                <w:div w:id="912008616">
                  <w:marLeft w:val="0"/>
                  <w:marRight w:val="0"/>
                  <w:marTop w:val="0"/>
                  <w:marBottom w:val="0"/>
                  <w:divBdr>
                    <w:top w:val="none" w:sz="0" w:space="0" w:color="auto"/>
                    <w:left w:val="none" w:sz="0" w:space="0" w:color="auto"/>
                    <w:bottom w:val="none" w:sz="0" w:space="0" w:color="auto"/>
                    <w:right w:val="none" w:sz="0" w:space="0" w:color="auto"/>
                  </w:divBdr>
                </w:div>
              </w:divsChild>
            </w:div>
            <w:div w:id="1989163390">
              <w:marLeft w:val="0"/>
              <w:marRight w:val="0"/>
              <w:marTop w:val="0"/>
              <w:marBottom w:val="0"/>
              <w:divBdr>
                <w:top w:val="none" w:sz="0" w:space="0" w:color="auto"/>
                <w:left w:val="none" w:sz="0" w:space="0" w:color="auto"/>
                <w:bottom w:val="none" w:sz="0" w:space="0" w:color="auto"/>
                <w:right w:val="none" w:sz="0" w:space="0" w:color="auto"/>
              </w:divBdr>
              <w:divsChild>
                <w:div w:id="967663189">
                  <w:marLeft w:val="0"/>
                  <w:marRight w:val="0"/>
                  <w:marTop w:val="0"/>
                  <w:marBottom w:val="0"/>
                  <w:divBdr>
                    <w:top w:val="none" w:sz="0" w:space="0" w:color="auto"/>
                    <w:left w:val="none" w:sz="0" w:space="0" w:color="auto"/>
                    <w:bottom w:val="none" w:sz="0" w:space="0" w:color="auto"/>
                    <w:right w:val="none" w:sz="0" w:space="0" w:color="auto"/>
                  </w:divBdr>
                </w:div>
              </w:divsChild>
            </w:div>
            <w:div w:id="2021663949">
              <w:marLeft w:val="0"/>
              <w:marRight w:val="0"/>
              <w:marTop w:val="0"/>
              <w:marBottom w:val="0"/>
              <w:divBdr>
                <w:top w:val="none" w:sz="0" w:space="0" w:color="auto"/>
                <w:left w:val="none" w:sz="0" w:space="0" w:color="auto"/>
                <w:bottom w:val="none" w:sz="0" w:space="0" w:color="auto"/>
                <w:right w:val="none" w:sz="0" w:space="0" w:color="auto"/>
              </w:divBdr>
              <w:divsChild>
                <w:div w:id="5010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3931">
      <w:bodyDiv w:val="1"/>
      <w:marLeft w:val="0"/>
      <w:marRight w:val="0"/>
      <w:marTop w:val="0"/>
      <w:marBottom w:val="0"/>
      <w:divBdr>
        <w:top w:val="none" w:sz="0" w:space="0" w:color="auto"/>
        <w:left w:val="none" w:sz="0" w:space="0" w:color="auto"/>
        <w:bottom w:val="none" w:sz="0" w:space="0" w:color="auto"/>
        <w:right w:val="none" w:sz="0" w:space="0" w:color="auto"/>
      </w:divBdr>
    </w:div>
    <w:div w:id="210903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adult-social-care-workforce-survey-december-2021"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skillsforcare.org.uk/news-and-events/news/vacancies-in-social-care-increase-by-52-to-their-highest-rates-and-the-workforce-shrinks-for-the-first-time" TargetMode="External"/><Relationship Id="rId17" Type="http://schemas.openxmlformats.org/officeDocument/2006/relationships/image" Target="cid:image003.png@01D955C9.A59CE290"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advice.buckinghamshire.gov.uk/information-and-advice/asc-policies/what-is-better-live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buckscc-my.sharepoint.com/personal/mmoss_buckscc_gov_uk/Documents/Desktop/Copy%20of%20Suspensions%20Trend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tx>
            <c:v>Residential &amp; Nursing</c:v>
          </c:tx>
          <c:spPr>
            <a:ln w="22225" cap="rnd">
              <a:solidFill>
                <a:srgbClr val="FF0000"/>
              </a:solidFill>
              <a:round/>
            </a:ln>
            <a:effectLst/>
          </c:spPr>
          <c:marker>
            <c:symbol val="none"/>
          </c:marker>
          <c:cat>
            <c:numRef>
              <c:f>SuspensionsData!$A$2:$A$185</c:f>
              <c:numCache>
                <c:formatCode>m/d/yyyy</c:formatCode>
                <c:ptCount val="184"/>
                <c:pt idx="0">
                  <c:v>44902</c:v>
                </c:pt>
                <c:pt idx="1">
                  <c:v>44895</c:v>
                </c:pt>
                <c:pt idx="2">
                  <c:v>44888</c:v>
                </c:pt>
                <c:pt idx="3">
                  <c:v>44881</c:v>
                </c:pt>
                <c:pt idx="4">
                  <c:v>44874</c:v>
                </c:pt>
                <c:pt idx="5">
                  <c:v>44867</c:v>
                </c:pt>
                <c:pt idx="6">
                  <c:v>44860</c:v>
                </c:pt>
                <c:pt idx="7">
                  <c:v>44853</c:v>
                </c:pt>
                <c:pt idx="8">
                  <c:v>44846</c:v>
                </c:pt>
                <c:pt idx="9">
                  <c:v>44839</c:v>
                </c:pt>
                <c:pt idx="10">
                  <c:v>44825</c:v>
                </c:pt>
                <c:pt idx="11">
                  <c:v>44818</c:v>
                </c:pt>
                <c:pt idx="12">
                  <c:v>44811</c:v>
                </c:pt>
                <c:pt idx="13">
                  <c:v>44804</c:v>
                </c:pt>
                <c:pt idx="14">
                  <c:v>44797</c:v>
                </c:pt>
                <c:pt idx="15">
                  <c:v>44790</c:v>
                </c:pt>
                <c:pt idx="16">
                  <c:v>44783</c:v>
                </c:pt>
                <c:pt idx="17">
                  <c:v>44776</c:v>
                </c:pt>
                <c:pt idx="18">
                  <c:v>44769</c:v>
                </c:pt>
                <c:pt idx="19">
                  <c:v>44762</c:v>
                </c:pt>
                <c:pt idx="20">
                  <c:v>44757</c:v>
                </c:pt>
                <c:pt idx="21">
                  <c:v>44748</c:v>
                </c:pt>
                <c:pt idx="22">
                  <c:v>44741</c:v>
                </c:pt>
                <c:pt idx="23">
                  <c:v>44727</c:v>
                </c:pt>
                <c:pt idx="24">
                  <c:v>44720</c:v>
                </c:pt>
                <c:pt idx="25">
                  <c:v>44713</c:v>
                </c:pt>
                <c:pt idx="26">
                  <c:v>44706</c:v>
                </c:pt>
                <c:pt idx="27">
                  <c:v>44699</c:v>
                </c:pt>
                <c:pt idx="28">
                  <c:v>44692</c:v>
                </c:pt>
                <c:pt idx="29">
                  <c:v>44685</c:v>
                </c:pt>
                <c:pt idx="30">
                  <c:v>44678</c:v>
                </c:pt>
                <c:pt idx="31">
                  <c:v>44671</c:v>
                </c:pt>
                <c:pt idx="32">
                  <c:v>44664</c:v>
                </c:pt>
                <c:pt idx="33">
                  <c:v>44650</c:v>
                </c:pt>
                <c:pt idx="34">
                  <c:v>44636</c:v>
                </c:pt>
                <c:pt idx="35">
                  <c:v>44631</c:v>
                </c:pt>
                <c:pt idx="36">
                  <c:v>44622</c:v>
                </c:pt>
                <c:pt idx="37">
                  <c:v>44617</c:v>
                </c:pt>
                <c:pt idx="38">
                  <c:v>44608</c:v>
                </c:pt>
                <c:pt idx="39">
                  <c:v>44601</c:v>
                </c:pt>
                <c:pt idx="40">
                  <c:v>44594</c:v>
                </c:pt>
                <c:pt idx="41">
                  <c:v>44587</c:v>
                </c:pt>
                <c:pt idx="42">
                  <c:v>44580</c:v>
                </c:pt>
                <c:pt idx="43">
                  <c:v>44573</c:v>
                </c:pt>
                <c:pt idx="44">
                  <c:v>44566</c:v>
                </c:pt>
                <c:pt idx="45">
                  <c:v>44552</c:v>
                </c:pt>
                <c:pt idx="46">
                  <c:v>44545</c:v>
                </c:pt>
                <c:pt idx="47">
                  <c:v>44538</c:v>
                </c:pt>
                <c:pt idx="48">
                  <c:v>44533</c:v>
                </c:pt>
                <c:pt idx="49">
                  <c:v>44524</c:v>
                </c:pt>
                <c:pt idx="50">
                  <c:v>44517</c:v>
                </c:pt>
                <c:pt idx="51">
                  <c:v>44510</c:v>
                </c:pt>
                <c:pt idx="52">
                  <c:v>44503</c:v>
                </c:pt>
                <c:pt idx="53">
                  <c:v>44496</c:v>
                </c:pt>
                <c:pt idx="54">
                  <c:v>44489</c:v>
                </c:pt>
                <c:pt idx="55">
                  <c:v>44484</c:v>
                </c:pt>
                <c:pt idx="56">
                  <c:v>44475</c:v>
                </c:pt>
                <c:pt idx="57">
                  <c:v>44468</c:v>
                </c:pt>
                <c:pt idx="58">
                  <c:v>44461</c:v>
                </c:pt>
                <c:pt idx="59">
                  <c:v>44454</c:v>
                </c:pt>
                <c:pt idx="60">
                  <c:v>44447</c:v>
                </c:pt>
                <c:pt idx="61">
                  <c:v>44440</c:v>
                </c:pt>
                <c:pt idx="62">
                  <c:v>44433</c:v>
                </c:pt>
                <c:pt idx="63">
                  <c:v>44426</c:v>
                </c:pt>
                <c:pt idx="64">
                  <c:v>44421</c:v>
                </c:pt>
                <c:pt idx="65">
                  <c:v>44412</c:v>
                </c:pt>
                <c:pt idx="66">
                  <c:v>44399</c:v>
                </c:pt>
                <c:pt idx="67">
                  <c:v>44398</c:v>
                </c:pt>
                <c:pt idx="68">
                  <c:v>44390</c:v>
                </c:pt>
                <c:pt idx="69">
                  <c:v>44384</c:v>
                </c:pt>
                <c:pt idx="70">
                  <c:v>44377</c:v>
                </c:pt>
                <c:pt idx="71">
                  <c:v>44372</c:v>
                </c:pt>
                <c:pt idx="72">
                  <c:v>44363</c:v>
                </c:pt>
                <c:pt idx="73">
                  <c:v>44356</c:v>
                </c:pt>
                <c:pt idx="74">
                  <c:v>44349</c:v>
                </c:pt>
                <c:pt idx="75">
                  <c:v>44342</c:v>
                </c:pt>
                <c:pt idx="76">
                  <c:v>44335</c:v>
                </c:pt>
                <c:pt idx="77">
                  <c:v>44328</c:v>
                </c:pt>
                <c:pt idx="78">
                  <c:v>44321</c:v>
                </c:pt>
                <c:pt idx="79">
                  <c:v>44314</c:v>
                </c:pt>
                <c:pt idx="80">
                  <c:v>44307</c:v>
                </c:pt>
                <c:pt idx="81">
                  <c:v>44300</c:v>
                </c:pt>
                <c:pt idx="82">
                  <c:v>44293</c:v>
                </c:pt>
                <c:pt idx="83">
                  <c:v>44286</c:v>
                </c:pt>
                <c:pt idx="84">
                  <c:v>44274</c:v>
                </c:pt>
                <c:pt idx="85">
                  <c:v>44267</c:v>
                </c:pt>
                <c:pt idx="86">
                  <c:v>44239</c:v>
                </c:pt>
                <c:pt idx="87">
                  <c:v>44225</c:v>
                </c:pt>
                <c:pt idx="88">
                  <c:v>44218</c:v>
                </c:pt>
                <c:pt idx="89">
                  <c:v>44211</c:v>
                </c:pt>
                <c:pt idx="90">
                  <c:v>44204</c:v>
                </c:pt>
                <c:pt idx="91">
                  <c:v>44183</c:v>
                </c:pt>
                <c:pt idx="92">
                  <c:v>44176</c:v>
                </c:pt>
                <c:pt idx="93">
                  <c:v>44169</c:v>
                </c:pt>
                <c:pt idx="94">
                  <c:v>44162</c:v>
                </c:pt>
                <c:pt idx="95">
                  <c:v>44155</c:v>
                </c:pt>
                <c:pt idx="96">
                  <c:v>44148</c:v>
                </c:pt>
                <c:pt idx="97">
                  <c:v>44141</c:v>
                </c:pt>
                <c:pt idx="98">
                  <c:v>44134</c:v>
                </c:pt>
                <c:pt idx="99">
                  <c:v>44116</c:v>
                </c:pt>
                <c:pt idx="100">
                  <c:v>44104</c:v>
                </c:pt>
                <c:pt idx="101">
                  <c:v>44097</c:v>
                </c:pt>
                <c:pt idx="102">
                  <c:v>44092</c:v>
                </c:pt>
                <c:pt idx="103">
                  <c:v>44085</c:v>
                </c:pt>
                <c:pt idx="104">
                  <c:v>44078</c:v>
                </c:pt>
                <c:pt idx="105">
                  <c:v>44071</c:v>
                </c:pt>
                <c:pt idx="106">
                  <c:v>44057</c:v>
                </c:pt>
                <c:pt idx="107">
                  <c:v>44050</c:v>
                </c:pt>
                <c:pt idx="108">
                  <c:v>44041</c:v>
                </c:pt>
                <c:pt idx="109">
                  <c:v>44034</c:v>
                </c:pt>
                <c:pt idx="110">
                  <c:v>44027</c:v>
                </c:pt>
                <c:pt idx="111">
                  <c:v>44020</c:v>
                </c:pt>
                <c:pt idx="112">
                  <c:v>44013</c:v>
                </c:pt>
                <c:pt idx="113">
                  <c:v>43992</c:v>
                </c:pt>
                <c:pt idx="114">
                  <c:v>43985</c:v>
                </c:pt>
                <c:pt idx="115">
                  <c:v>43978</c:v>
                </c:pt>
                <c:pt idx="116">
                  <c:v>43971</c:v>
                </c:pt>
                <c:pt idx="117">
                  <c:v>43964</c:v>
                </c:pt>
                <c:pt idx="118">
                  <c:v>43952</c:v>
                </c:pt>
                <c:pt idx="119">
                  <c:v>43950</c:v>
                </c:pt>
                <c:pt idx="120">
                  <c:v>43943</c:v>
                </c:pt>
                <c:pt idx="121">
                  <c:v>43936</c:v>
                </c:pt>
                <c:pt idx="122">
                  <c:v>43929</c:v>
                </c:pt>
                <c:pt idx="123">
                  <c:v>43922</c:v>
                </c:pt>
                <c:pt idx="124">
                  <c:v>43915</c:v>
                </c:pt>
                <c:pt idx="125">
                  <c:v>43908</c:v>
                </c:pt>
                <c:pt idx="126">
                  <c:v>43901</c:v>
                </c:pt>
                <c:pt idx="127">
                  <c:v>43894</c:v>
                </c:pt>
                <c:pt idx="128">
                  <c:v>43887</c:v>
                </c:pt>
                <c:pt idx="129">
                  <c:v>43880</c:v>
                </c:pt>
                <c:pt idx="130">
                  <c:v>43873</c:v>
                </c:pt>
                <c:pt idx="131">
                  <c:v>43866</c:v>
                </c:pt>
                <c:pt idx="132">
                  <c:v>43859</c:v>
                </c:pt>
                <c:pt idx="133">
                  <c:v>43852</c:v>
                </c:pt>
                <c:pt idx="134">
                  <c:v>43845</c:v>
                </c:pt>
                <c:pt idx="135">
                  <c:v>43838</c:v>
                </c:pt>
                <c:pt idx="136">
                  <c:v>43817</c:v>
                </c:pt>
                <c:pt idx="137">
                  <c:v>43810</c:v>
                </c:pt>
                <c:pt idx="138">
                  <c:v>43805</c:v>
                </c:pt>
                <c:pt idx="139">
                  <c:v>43796</c:v>
                </c:pt>
                <c:pt idx="140">
                  <c:v>43789</c:v>
                </c:pt>
                <c:pt idx="141">
                  <c:v>43782</c:v>
                </c:pt>
                <c:pt idx="142">
                  <c:v>43775</c:v>
                </c:pt>
                <c:pt idx="143">
                  <c:v>43768</c:v>
                </c:pt>
                <c:pt idx="144">
                  <c:v>43763</c:v>
                </c:pt>
                <c:pt idx="145">
                  <c:v>43756</c:v>
                </c:pt>
                <c:pt idx="146">
                  <c:v>43747</c:v>
                </c:pt>
                <c:pt idx="147">
                  <c:v>43733</c:v>
                </c:pt>
                <c:pt idx="148">
                  <c:v>43726</c:v>
                </c:pt>
                <c:pt idx="149">
                  <c:v>43719</c:v>
                </c:pt>
                <c:pt idx="150">
                  <c:v>43714</c:v>
                </c:pt>
                <c:pt idx="151">
                  <c:v>43705</c:v>
                </c:pt>
                <c:pt idx="152">
                  <c:v>43698</c:v>
                </c:pt>
                <c:pt idx="153">
                  <c:v>43691</c:v>
                </c:pt>
                <c:pt idx="154">
                  <c:v>43684</c:v>
                </c:pt>
                <c:pt idx="155">
                  <c:v>43677</c:v>
                </c:pt>
                <c:pt idx="156">
                  <c:v>43663</c:v>
                </c:pt>
                <c:pt idx="157">
                  <c:v>43656</c:v>
                </c:pt>
                <c:pt idx="158">
                  <c:v>43649</c:v>
                </c:pt>
                <c:pt idx="159">
                  <c:v>43642</c:v>
                </c:pt>
                <c:pt idx="160">
                  <c:v>43635</c:v>
                </c:pt>
                <c:pt idx="161">
                  <c:v>43628</c:v>
                </c:pt>
                <c:pt idx="162">
                  <c:v>43621</c:v>
                </c:pt>
                <c:pt idx="163">
                  <c:v>43614</c:v>
                </c:pt>
                <c:pt idx="164">
                  <c:v>43607</c:v>
                </c:pt>
                <c:pt idx="165">
                  <c:v>43600</c:v>
                </c:pt>
                <c:pt idx="166">
                  <c:v>43593</c:v>
                </c:pt>
                <c:pt idx="167">
                  <c:v>43588</c:v>
                </c:pt>
                <c:pt idx="168">
                  <c:v>43579</c:v>
                </c:pt>
                <c:pt idx="169">
                  <c:v>43572</c:v>
                </c:pt>
                <c:pt idx="170">
                  <c:v>43565</c:v>
                </c:pt>
                <c:pt idx="171">
                  <c:v>43558</c:v>
                </c:pt>
                <c:pt idx="172">
                  <c:v>43544</c:v>
                </c:pt>
                <c:pt idx="173">
                  <c:v>43539</c:v>
                </c:pt>
                <c:pt idx="174">
                  <c:v>43532</c:v>
                </c:pt>
                <c:pt idx="175">
                  <c:v>43523</c:v>
                </c:pt>
                <c:pt idx="176">
                  <c:v>43518</c:v>
                </c:pt>
                <c:pt idx="177">
                  <c:v>43509</c:v>
                </c:pt>
                <c:pt idx="178">
                  <c:v>43502</c:v>
                </c:pt>
                <c:pt idx="179">
                  <c:v>43495</c:v>
                </c:pt>
                <c:pt idx="180">
                  <c:v>43488</c:v>
                </c:pt>
                <c:pt idx="181">
                  <c:v>43481</c:v>
                </c:pt>
                <c:pt idx="182">
                  <c:v>43474</c:v>
                </c:pt>
                <c:pt idx="183">
                  <c:v>43467</c:v>
                </c:pt>
              </c:numCache>
            </c:numRef>
          </c:cat>
          <c:val>
            <c:numRef>
              <c:f>SuspensionsData!$B$2:$B$185</c:f>
              <c:numCache>
                <c:formatCode>General</c:formatCode>
                <c:ptCount val="184"/>
                <c:pt idx="0">
                  <c:v>7</c:v>
                </c:pt>
                <c:pt idx="1">
                  <c:v>7</c:v>
                </c:pt>
                <c:pt idx="2">
                  <c:v>7</c:v>
                </c:pt>
                <c:pt idx="3">
                  <c:v>6</c:v>
                </c:pt>
                <c:pt idx="4">
                  <c:v>6</c:v>
                </c:pt>
                <c:pt idx="5">
                  <c:v>6</c:v>
                </c:pt>
                <c:pt idx="6">
                  <c:v>6</c:v>
                </c:pt>
                <c:pt idx="7">
                  <c:v>6</c:v>
                </c:pt>
                <c:pt idx="8">
                  <c:v>6</c:v>
                </c:pt>
                <c:pt idx="9">
                  <c:v>6</c:v>
                </c:pt>
                <c:pt idx="10">
                  <c:v>7</c:v>
                </c:pt>
                <c:pt idx="11">
                  <c:v>8</c:v>
                </c:pt>
                <c:pt idx="12">
                  <c:v>8</c:v>
                </c:pt>
                <c:pt idx="13">
                  <c:v>8</c:v>
                </c:pt>
                <c:pt idx="14">
                  <c:v>8</c:v>
                </c:pt>
                <c:pt idx="15">
                  <c:v>8</c:v>
                </c:pt>
                <c:pt idx="16">
                  <c:v>8</c:v>
                </c:pt>
                <c:pt idx="17">
                  <c:v>8</c:v>
                </c:pt>
                <c:pt idx="18">
                  <c:v>8</c:v>
                </c:pt>
                <c:pt idx="19">
                  <c:v>8</c:v>
                </c:pt>
                <c:pt idx="20">
                  <c:v>8</c:v>
                </c:pt>
                <c:pt idx="21">
                  <c:v>8</c:v>
                </c:pt>
                <c:pt idx="22">
                  <c:v>9</c:v>
                </c:pt>
                <c:pt idx="23">
                  <c:v>10</c:v>
                </c:pt>
                <c:pt idx="24">
                  <c:v>10</c:v>
                </c:pt>
                <c:pt idx="25">
                  <c:v>10</c:v>
                </c:pt>
                <c:pt idx="26">
                  <c:v>10</c:v>
                </c:pt>
                <c:pt idx="27">
                  <c:v>11</c:v>
                </c:pt>
                <c:pt idx="28">
                  <c:v>12</c:v>
                </c:pt>
                <c:pt idx="29">
                  <c:v>11</c:v>
                </c:pt>
                <c:pt idx="30">
                  <c:v>10</c:v>
                </c:pt>
                <c:pt idx="31">
                  <c:v>10</c:v>
                </c:pt>
                <c:pt idx="32">
                  <c:v>10</c:v>
                </c:pt>
                <c:pt idx="33">
                  <c:v>11</c:v>
                </c:pt>
                <c:pt idx="34">
                  <c:v>10</c:v>
                </c:pt>
                <c:pt idx="35">
                  <c:v>7</c:v>
                </c:pt>
                <c:pt idx="36">
                  <c:v>9</c:v>
                </c:pt>
                <c:pt idx="37">
                  <c:v>9</c:v>
                </c:pt>
                <c:pt idx="38">
                  <c:v>8</c:v>
                </c:pt>
                <c:pt idx="39">
                  <c:v>8</c:v>
                </c:pt>
                <c:pt idx="40">
                  <c:v>8</c:v>
                </c:pt>
                <c:pt idx="41">
                  <c:v>8</c:v>
                </c:pt>
                <c:pt idx="42">
                  <c:v>8</c:v>
                </c:pt>
                <c:pt idx="43">
                  <c:v>8</c:v>
                </c:pt>
                <c:pt idx="44">
                  <c:v>8</c:v>
                </c:pt>
                <c:pt idx="45">
                  <c:v>8</c:v>
                </c:pt>
                <c:pt idx="46">
                  <c:v>8</c:v>
                </c:pt>
                <c:pt idx="47">
                  <c:v>8</c:v>
                </c:pt>
                <c:pt idx="48">
                  <c:v>8</c:v>
                </c:pt>
                <c:pt idx="49">
                  <c:v>8</c:v>
                </c:pt>
                <c:pt idx="50">
                  <c:v>8</c:v>
                </c:pt>
                <c:pt idx="51">
                  <c:v>7</c:v>
                </c:pt>
                <c:pt idx="52">
                  <c:v>7</c:v>
                </c:pt>
                <c:pt idx="53">
                  <c:v>7</c:v>
                </c:pt>
                <c:pt idx="54">
                  <c:v>7</c:v>
                </c:pt>
                <c:pt idx="55">
                  <c:v>8</c:v>
                </c:pt>
                <c:pt idx="56">
                  <c:v>8</c:v>
                </c:pt>
                <c:pt idx="57">
                  <c:v>8</c:v>
                </c:pt>
                <c:pt idx="58">
                  <c:v>8</c:v>
                </c:pt>
                <c:pt idx="59">
                  <c:v>7</c:v>
                </c:pt>
                <c:pt idx="60">
                  <c:v>7</c:v>
                </c:pt>
                <c:pt idx="61">
                  <c:v>7</c:v>
                </c:pt>
                <c:pt idx="62">
                  <c:v>6</c:v>
                </c:pt>
                <c:pt idx="63">
                  <c:v>6</c:v>
                </c:pt>
                <c:pt idx="64">
                  <c:v>6</c:v>
                </c:pt>
                <c:pt idx="65">
                  <c:v>5</c:v>
                </c:pt>
                <c:pt idx="66">
                  <c:v>5</c:v>
                </c:pt>
                <c:pt idx="67">
                  <c:v>5</c:v>
                </c:pt>
                <c:pt idx="68">
                  <c:v>5</c:v>
                </c:pt>
                <c:pt idx="69">
                  <c:v>5</c:v>
                </c:pt>
                <c:pt idx="70">
                  <c:v>4</c:v>
                </c:pt>
                <c:pt idx="71">
                  <c:v>4</c:v>
                </c:pt>
                <c:pt idx="72">
                  <c:v>4</c:v>
                </c:pt>
                <c:pt idx="73">
                  <c:v>4</c:v>
                </c:pt>
                <c:pt idx="74">
                  <c:v>6</c:v>
                </c:pt>
                <c:pt idx="75">
                  <c:v>6</c:v>
                </c:pt>
                <c:pt idx="76">
                  <c:v>6</c:v>
                </c:pt>
                <c:pt idx="77">
                  <c:v>6</c:v>
                </c:pt>
                <c:pt idx="78">
                  <c:v>6</c:v>
                </c:pt>
                <c:pt idx="79">
                  <c:v>6</c:v>
                </c:pt>
                <c:pt idx="80">
                  <c:v>6</c:v>
                </c:pt>
                <c:pt idx="81">
                  <c:v>6</c:v>
                </c:pt>
                <c:pt idx="82">
                  <c:v>6</c:v>
                </c:pt>
                <c:pt idx="83">
                  <c:v>6</c:v>
                </c:pt>
                <c:pt idx="84">
                  <c:v>6</c:v>
                </c:pt>
                <c:pt idx="85">
                  <c:v>6</c:v>
                </c:pt>
                <c:pt idx="86">
                  <c:v>5</c:v>
                </c:pt>
                <c:pt idx="87">
                  <c:v>5</c:v>
                </c:pt>
                <c:pt idx="88">
                  <c:v>5</c:v>
                </c:pt>
                <c:pt idx="89">
                  <c:v>5</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3</c:v>
                </c:pt>
                <c:pt idx="106">
                  <c:v>3</c:v>
                </c:pt>
                <c:pt idx="107">
                  <c:v>3</c:v>
                </c:pt>
                <c:pt idx="108">
                  <c:v>3</c:v>
                </c:pt>
                <c:pt idx="109">
                  <c:v>3</c:v>
                </c:pt>
                <c:pt idx="110">
                  <c:v>2</c:v>
                </c:pt>
                <c:pt idx="111">
                  <c:v>2</c:v>
                </c:pt>
                <c:pt idx="112">
                  <c:v>2</c:v>
                </c:pt>
                <c:pt idx="113">
                  <c:v>3</c:v>
                </c:pt>
                <c:pt idx="114">
                  <c:v>3</c:v>
                </c:pt>
                <c:pt idx="115">
                  <c:v>3</c:v>
                </c:pt>
                <c:pt idx="116">
                  <c:v>3</c:v>
                </c:pt>
                <c:pt idx="117">
                  <c:v>3</c:v>
                </c:pt>
                <c:pt idx="118">
                  <c:v>3</c:v>
                </c:pt>
                <c:pt idx="119">
                  <c:v>3</c:v>
                </c:pt>
                <c:pt idx="120">
                  <c:v>3</c:v>
                </c:pt>
                <c:pt idx="121">
                  <c:v>4</c:v>
                </c:pt>
                <c:pt idx="122">
                  <c:v>4</c:v>
                </c:pt>
                <c:pt idx="123">
                  <c:v>4</c:v>
                </c:pt>
                <c:pt idx="124">
                  <c:v>4</c:v>
                </c:pt>
                <c:pt idx="125">
                  <c:v>3</c:v>
                </c:pt>
                <c:pt idx="126">
                  <c:v>3</c:v>
                </c:pt>
                <c:pt idx="127">
                  <c:v>3</c:v>
                </c:pt>
                <c:pt idx="128">
                  <c:v>3</c:v>
                </c:pt>
                <c:pt idx="129">
                  <c:v>3</c:v>
                </c:pt>
                <c:pt idx="130">
                  <c:v>3</c:v>
                </c:pt>
                <c:pt idx="131">
                  <c:v>3</c:v>
                </c:pt>
                <c:pt idx="132">
                  <c:v>2</c:v>
                </c:pt>
                <c:pt idx="133">
                  <c:v>2</c:v>
                </c:pt>
                <c:pt idx="134">
                  <c:v>2</c:v>
                </c:pt>
                <c:pt idx="135">
                  <c:v>2</c:v>
                </c:pt>
                <c:pt idx="136">
                  <c:v>2</c:v>
                </c:pt>
                <c:pt idx="137">
                  <c:v>2</c:v>
                </c:pt>
                <c:pt idx="138">
                  <c:v>2</c:v>
                </c:pt>
                <c:pt idx="139">
                  <c:v>2</c:v>
                </c:pt>
                <c:pt idx="140">
                  <c:v>2</c:v>
                </c:pt>
                <c:pt idx="141">
                  <c:v>2</c:v>
                </c:pt>
                <c:pt idx="142">
                  <c:v>2</c:v>
                </c:pt>
                <c:pt idx="143">
                  <c:v>2</c:v>
                </c:pt>
                <c:pt idx="144">
                  <c:v>2</c:v>
                </c:pt>
                <c:pt idx="145">
                  <c:v>2</c:v>
                </c:pt>
                <c:pt idx="146">
                  <c:v>2</c:v>
                </c:pt>
                <c:pt idx="147">
                  <c:v>2</c:v>
                </c:pt>
                <c:pt idx="148">
                  <c:v>2</c:v>
                </c:pt>
                <c:pt idx="149">
                  <c:v>2</c:v>
                </c:pt>
                <c:pt idx="150">
                  <c:v>2</c:v>
                </c:pt>
                <c:pt idx="151">
                  <c:v>3</c:v>
                </c:pt>
                <c:pt idx="152">
                  <c:v>3</c:v>
                </c:pt>
                <c:pt idx="153">
                  <c:v>3</c:v>
                </c:pt>
                <c:pt idx="154">
                  <c:v>3</c:v>
                </c:pt>
                <c:pt idx="155">
                  <c:v>2</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numCache>
            </c:numRef>
          </c:val>
          <c:smooth val="0"/>
          <c:extLst>
            <c:ext xmlns:c16="http://schemas.microsoft.com/office/drawing/2014/chart" uri="{C3380CC4-5D6E-409C-BE32-E72D297353CC}">
              <c16:uniqueId val="{00000000-7038-4C5E-981C-2C7F20F30733}"/>
            </c:ext>
          </c:extLst>
        </c:ser>
        <c:ser>
          <c:idx val="1"/>
          <c:order val="1"/>
          <c:tx>
            <c:v>Domiciliary Care</c:v>
          </c:tx>
          <c:spPr>
            <a:ln w="22225" cap="rnd">
              <a:solidFill>
                <a:schemeClr val="tx1"/>
              </a:solidFill>
              <a:round/>
            </a:ln>
            <a:effectLst/>
          </c:spPr>
          <c:marker>
            <c:symbol val="none"/>
          </c:marker>
          <c:cat>
            <c:numRef>
              <c:f>SuspensionsData!$A$2:$A$185</c:f>
              <c:numCache>
                <c:formatCode>m/d/yyyy</c:formatCode>
                <c:ptCount val="184"/>
                <c:pt idx="0">
                  <c:v>44902</c:v>
                </c:pt>
                <c:pt idx="1">
                  <c:v>44895</c:v>
                </c:pt>
                <c:pt idx="2">
                  <c:v>44888</c:v>
                </c:pt>
                <c:pt idx="3">
                  <c:v>44881</c:v>
                </c:pt>
                <c:pt idx="4">
                  <c:v>44874</c:v>
                </c:pt>
                <c:pt idx="5">
                  <c:v>44867</c:v>
                </c:pt>
                <c:pt idx="6">
                  <c:v>44860</c:v>
                </c:pt>
                <c:pt idx="7">
                  <c:v>44853</c:v>
                </c:pt>
                <c:pt idx="8">
                  <c:v>44846</c:v>
                </c:pt>
                <c:pt idx="9">
                  <c:v>44839</c:v>
                </c:pt>
                <c:pt idx="10">
                  <c:v>44825</c:v>
                </c:pt>
                <c:pt idx="11">
                  <c:v>44818</c:v>
                </c:pt>
                <c:pt idx="12">
                  <c:v>44811</c:v>
                </c:pt>
                <c:pt idx="13">
                  <c:v>44804</c:v>
                </c:pt>
                <c:pt idx="14">
                  <c:v>44797</c:v>
                </c:pt>
                <c:pt idx="15">
                  <c:v>44790</c:v>
                </c:pt>
                <c:pt idx="16">
                  <c:v>44783</c:v>
                </c:pt>
                <c:pt idx="17">
                  <c:v>44776</c:v>
                </c:pt>
                <c:pt idx="18">
                  <c:v>44769</c:v>
                </c:pt>
                <c:pt idx="19">
                  <c:v>44762</c:v>
                </c:pt>
                <c:pt idx="20">
                  <c:v>44757</c:v>
                </c:pt>
                <c:pt idx="21">
                  <c:v>44748</c:v>
                </c:pt>
                <c:pt idx="22">
                  <c:v>44741</c:v>
                </c:pt>
                <c:pt idx="23">
                  <c:v>44727</c:v>
                </c:pt>
                <c:pt idx="24">
                  <c:v>44720</c:v>
                </c:pt>
                <c:pt idx="25">
                  <c:v>44713</c:v>
                </c:pt>
                <c:pt idx="26">
                  <c:v>44706</c:v>
                </c:pt>
                <c:pt idx="27">
                  <c:v>44699</c:v>
                </c:pt>
                <c:pt idx="28">
                  <c:v>44692</c:v>
                </c:pt>
                <c:pt idx="29">
                  <c:v>44685</c:v>
                </c:pt>
                <c:pt idx="30">
                  <c:v>44678</c:v>
                </c:pt>
                <c:pt idx="31">
                  <c:v>44671</c:v>
                </c:pt>
                <c:pt idx="32">
                  <c:v>44664</c:v>
                </c:pt>
                <c:pt idx="33">
                  <c:v>44650</c:v>
                </c:pt>
                <c:pt idx="34">
                  <c:v>44636</c:v>
                </c:pt>
                <c:pt idx="35">
                  <c:v>44631</c:v>
                </c:pt>
                <c:pt idx="36">
                  <c:v>44622</c:v>
                </c:pt>
                <c:pt idx="37">
                  <c:v>44617</c:v>
                </c:pt>
                <c:pt idx="38">
                  <c:v>44608</c:v>
                </c:pt>
                <c:pt idx="39">
                  <c:v>44601</c:v>
                </c:pt>
                <c:pt idx="40">
                  <c:v>44594</c:v>
                </c:pt>
                <c:pt idx="41">
                  <c:v>44587</c:v>
                </c:pt>
                <c:pt idx="42">
                  <c:v>44580</c:v>
                </c:pt>
                <c:pt idx="43">
                  <c:v>44573</c:v>
                </c:pt>
                <c:pt idx="44">
                  <c:v>44566</c:v>
                </c:pt>
                <c:pt idx="45">
                  <c:v>44552</c:v>
                </c:pt>
                <c:pt idx="46">
                  <c:v>44545</c:v>
                </c:pt>
                <c:pt idx="47">
                  <c:v>44538</c:v>
                </c:pt>
                <c:pt idx="48">
                  <c:v>44533</c:v>
                </c:pt>
                <c:pt idx="49">
                  <c:v>44524</c:v>
                </c:pt>
                <c:pt idx="50">
                  <c:v>44517</c:v>
                </c:pt>
                <c:pt idx="51">
                  <c:v>44510</c:v>
                </c:pt>
                <c:pt idx="52">
                  <c:v>44503</c:v>
                </c:pt>
                <c:pt idx="53">
                  <c:v>44496</c:v>
                </c:pt>
                <c:pt idx="54">
                  <c:v>44489</c:v>
                </c:pt>
                <c:pt idx="55">
                  <c:v>44484</c:v>
                </c:pt>
                <c:pt idx="56">
                  <c:v>44475</c:v>
                </c:pt>
                <c:pt idx="57">
                  <c:v>44468</c:v>
                </c:pt>
                <c:pt idx="58">
                  <c:v>44461</c:v>
                </c:pt>
                <c:pt idx="59">
                  <c:v>44454</c:v>
                </c:pt>
                <c:pt idx="60">
                  <c:v>44447</c:v>
                </c:pt>
                <c:pt idx="61">
                  <c:v>44440</c:v>
                </c:pt>
                <c:pt idx="62">
                  <c:v>44433</c:v>
                </c:pt>
                <c:pt idx="63">
                  <c:v>44426</c:v>
                </c:pt>
                <c:pt idx="64">
                  <c:v>44421</c:v>
                </c:pt>
                <c:pt idx="65">
                  <c:v>44412</c:v>
                </c:pt>
                <c:pt idx="66">
                  <c:v>44399</c:v>
                </c:pt>
                <c:pt idx="67">
                  <c:v>44398</c:v>
                </c:pt>
                <c:pt idx="68">
                  <c:v>44390</c:v>
                </c:pt>
                <c:pt idx="69">
                  <c:v>44384</c:v>
                </c:pt>
                <c:pt idx="70">
                  <c:v>44377</c:v>
                </c:pt>
                <c:pt idx="71">
                  <c:v>44372</c:v>
                </c:pt>
                <c:pt idx="72">
                  <c:v>44363</c:v>
                </c:pt>
                <c:pt idx="73">
                  <c:v>44356</c:v>
                </c:pt>
                <c:pt idx="74">
                  <c:v>44349</c:v>
                </c:pt>
                <c:pt idx="75">
                  <c:v>44342</c:v>
                </c:pt>
                <c:pt idx="76">
                  <c:v>44335</c:v>
                </c:pt>
                <c:pt idx="77">
                  <c:v>44328</c:v>
                </c:pt>
                <c:pt idx="78">
                  <c:v>44321</c:v>
                </c:pt>
                <c:pt idx="79">
                  <c:v>44314</c:v>
                </c:pt>
                <c:pt idx="80">
                  <c:v>44307</c:v>
                </c:pt>
                <c:pt idx="81">
                  <c:v>44300</c:v>
                </c:pt>
                <c:pt idx="82">
                  <c:v>44293</c:v>
                </c:pt>
                <c:pt idx="83">
                  <c:v>44286</c:v>
                </c:pt>
                <c:pt idx="84">
                  <c:v>44274</c:v>
                </c:pt>
                <c:pt idx="85">
                  <c:v>44267</c:v>
                </c:pt>
                <c:pt idx="86">
                  <c:v>44239</c:v>
                </c:pt>
                <c:pt idx="87">
                  <c:v>44225</c:v>
                </c:pt>
                <c:pt idx="88">
                  <c:v>44218</c:v>
                </c:pt>
                <c:pt idx="89">
                  <c:v>44211</c:v>
                </c:pt>
                <c:pt idx="90">
                  <c:v>44204</c:v>
                </c:pt>
                <c:pt idx="91">
                  <c:v>44183</c:v>
                </c:pt>
                <c:pt idx="92">
                  <c:v>44176</c:v>
                </c:pt>
                <c:pt idx="93">
                  <c:v>44169</c:v>
                </c:pt>
                <c:pt idx="94">
                  <c:v>44162</c:v>
                </c:pt>
                <c:pt idx="95">
                  <c:v>44155</c:v>
                </c:pt>
                <c:pt idx="96">
                  <c:v>44148</c:v>
                </c:pt>
                <c:pt idx="97">
                  <c:v>44141</c:v>
                </c:pt>
                <c:pt idx="98">
                  <c:v>44134</c:v>
                </c:pt>
                <c:pt idx="99">
                  <c:v>44116</c:v>
                </c:pt>
                <c:pt idx="100">
                  <c:v>44104</c:v>
                </c:pt>
                <c:pt idx="101">
                  <c:v>44097</c:v>
                </c:pt>
                <c:pt idx="102">
                  <c:v>44092</c:v>
                </c:pt>
                <c:pt idx="103">
                  <c:v>44085</c:v>
                </c:pt>
                <c:pt idx="104">
                  <c:v>44078</c:v>
                </c:pt>
                <c:pt idx="105">
                  <c:v>44071</c:v>
                </c:pt>
                <c:pt idx="106">
                  <c:v>44057</c:v>
                </c:pt>
                <c:pt idx="107">
                  <c:v>44050</c:v>
                </c:pt>
                <c:pt idx="108">
                  <c:v>44041</c:v>
                </c:pt>
                <c:pt idx="109">
                  <c:v>44034</c:v>
                </c:pt>
                <c:pt idx="110">
                  <c:v>44027</c:v>
                </c:pt>
                <c:pt idx="111">
                  <c:v>44020</c:v>
                </c:pt>
                <c:pt idx="112">
                  <c:v>44013</c:v>
                </c:pt>
                <c:pt idx="113">
                  <c:v>43992</c:v>
                </c:pt>
                <c:pt idx="114">
                  <c:v>43985</c:v>
                </c:pt>
                <c:pt idx="115">
                  <c:v>43978</c:v>
                </c:pt>
                <c:pt idx="116">
                  <c:v>43971</c:v>
                </c:pt>
                <c:pt idx="117">
                  <c:v>43964</c:v>
                </c:pt>
                <c:pt idx="118">
                  <c:v>43952</c:v>
                </c:pt>
                <c:pt idx="119">
                  <c:v>43950</c:v>
                </c:pt>
                <c:pt idx="120">
                  <c:v>43943</c:v>
                </c:pt>
                <c:pt idx="121">
                  <c:v>43936</c:v>
                </c:pt>
                <c:pt idx="122">
                  <c:v>43929</c:v>
                </c:pt>
                <c:pt idx="123">
                  <c:v>43922</c:v>
                </c:pt>
                <c:pt idx="124">
                  <c:v>43915</c:v>
                </c:pt>
                <c:pt idx="125">
                  <c:v>43908</c:v>
                </c:pt>
                <c:pt idx="126">
                  <c:v>43901</c:v>
                </c:pt>
                <c:pt idx="127">
                  <c:v>43894</c:v>
                </c:pt>
                <c:pt idx="128">
                  <c:v>43887</c:v>
                </c:pt>
                <c:pt idx="129">
                  <c:v>43880</c:v>
                </c:pt>
                <c:pt idx="130">
                  <c:v>43873</c:v>
                </c:pt>
                <c:pt idx="131">
                  <c:v>43866</c:v>
                </c:pt>
                <c:pt idx="132">
                  <c:v>43859</c:v>
                </c:pt>
                <c:pt idx="133">
                  <c:v>43852</c:v>
                </c:pt>
                <c:pt idx="134">
                  <c:v>43845</c:v>
                </c:pt>
                <c:pt idx="135">
                  <c:v>43838</c:v>
                </c:pt>
                <c:pt idx="136">
                  <c:v>43817</c:v>
                </c:pt>
                <c:pt idx="137">
                  <c:v>43810</c:v>
                </c:pt>
                <c:pt idx="138">
                  <c:v>43805</c:v>
                </c:pt>
                <c:pt idx="139">
                  <c:v>43796</c:v>
                </c:pt>
                <c:pt idx="140">
                  <c:v>43789</c:v>
                </c:pt>
                <c:pt idx="141">
                  <c:v>43782</c:v>
                </c:pt>
                <c:pt idx="142">
                  <c:v>43775</c:v>
                </c:pt>
                <c:pt idx="143">
                  <c:v>43768</c:v>
                </c:pt>
                <c:pt idx="144">
                  <c:v>43763</c:v>
                </c:pt>
                <c:pt idx="145">
                  <c:v>43756</c:v>
                </c:pt>
                <c:pt idx="146">
                  <c:v>43747</c:v>
                </c:pt>
                <c:pt idx="147">
                  <c:v>43733</c:v>
                </c:pt>
                <c:pt idx="148">
                  <c:v>43726</c:v>
                </c:pt>
                <c:pt idx="149">
                  <c:v>43719</c:v>
                </c:pt>
                <c:pt idx="150">
                  <c:v>43714</c:v>
                </c:pt>
                <c:pt idx="151">
                  <c:v>43705</c:v>
                </c:pt>
                <c:pt idx="152">
                  <c:v>43698</c:v>
                </c:pt>
                <c:pt idx="153">
                  <c:v>43691</c:v>
                </c:pt>
                <c:pt idx="154">
                  <c:v>43684</c:v>
                </c:pt>
                <c:pt idx="155">
                  <c:v>43677</c:v>
                </c:pt>
                <c:pt idx="156">
                  <c:v>43663</c:v>
                </c:pt>
                <c:pt idx="157">
                  <c:v>43656</c:v>
                </c:pt>
                <c:pt idx="158">
                  <c:v>43649</c:v>
                </c:pt>
                <c:pt idx="159">
                  <c:v>43642</c:v>
                </c:pt>
                <c:pt idx="160">
                  <c:v>43635</c:v>
                </c:pt>
                <c:pt idx="161">
                  <c:v>43628</c:v>
                </c:pt>
                <c:pt idx="162">
                  <c:v>43621</c:v>
                </c:pt>
                <c:pt idx="163">
                  <c:v>43614</c:v>
                </c:pt>
                <c:pt idx="164">
                  <c:v>43607</c:v>
                </c:pt>
                <c:pt idx="165">
                  <c:v>43600</c:v>
                </c:pt>
                <c:pt idx="166">
                  <c:v>43593</c:v>
                </c:pt>
                <c:pt idx="167">
                  <c:v>43588</c:v>
                </c:pt>
                <c:pt idx="168">
                  <c:v>43579</c:v>
                </c:pt>
                <c:pt idx="169">
                  <c:v>43572</c:v>
                </c:pt>
                <c:pt idx="170">
                  <c:v>43565</c:v>
                </c:pt>
                <c:pt idx="171">
                  <c:v>43558</c:v>
                </c:pt>
                <c:pt idx="172">
                  <c:v>43544</c:v>
                </c:pt>
                <c:pt idx="173">
                  <c:v>43539</c:v>
                </c:pt>
                <c:pt idx="174">
                  <c:v>43532</c:v>
                </c:pt>
                <c:pt idx="175">
                  <c:v>43523</c:v>
                </c:pt>
                <c:pt idx="176">
                  <c:v>43518</c:v>
                </c:pt>
                <c:pt idx="177">
                  <c:v>43509</c:v>
                </c:pt>
                <c:pt idx="178">
                  <c:v>43502</c:v>
                </c:pt>
                <c:pt idx="179">
                  <c:v>43495</c:v>
                </c:pt>
                <c:pt idx="180">
                  <c:v>43488</c:v>
                </c:pt>
                <c:pt idx="181">
                  <c:v>43481</c:v>
                </c:pt>
                <c:pt idx="182">
                  <c:v>43474</c:v>
                </c:pt>
                <c:pt idx="183">
                  <c:v>43467</c:v>
                </c:pt>
              </c:numCache>
            </c:numRef>
          </c:cat>
          <c:val>
            <c:numRef>
              <c:f>SuspensionsData!$D$2:$D$185</c:f>
              <c:numCache>
                <c:formatCode>General</c:formatCode>
                <c:ptCount val="184"/>
                <c:pt idx="0">
                  <c:v>3</c:v>
                </c:pt>
                <c:pt idx="1">
                  <c:v>3</c:v>
                </c:pt>
                <c:pt idx="2">
                  <c:v>3</c:v>
                </c:pt>
                <c:pt idx="3">
                  <c:v>3</c:v>
                </c:pt>
                <c:pt idx="4">
                  <c:v>3</c:v>
                </c:pt>
                <c:pt idx="5">
                  <c:v>3</c:v>
                </c:pt>
                <c:pt idx="6">
                  <c:v>3</c:v>
                </c:pt>
                <c:pt idx="7">
                  <c:v>3</c:v>
                </c:pt>
                <c:pt idx="8">
                  <c:v>3</c:v>
                </c:pt>
                <c:pt idx="9">
                  <c:v>4</c:v>
                </c:pt>
                <c:pt idx="10">
                  <c:v>3</c:v>
                </c:pt>
                <c:pt idx="11">
                  <c:v>3</c:v>
                </c:pt>
                <c:pt idx="12">
                  <c:v>3</c:v>
                </c:pt>
                <c:pt idx="13">
                  <c:v>4</c:v>
                </c:pt>
                <c:pt idx="14">
                  <c:v>4</c:v>
                </c:pt>
                <c:pt idx="15">
                  <c:v>4</c:v>
                </c:pt>
                <c:pt idx="16">
                  <c:v>4</c:v>
                </c:pt>
                <c:pt idx="17">
                  <c:v>4</c:v>
                </c:pt>
                <c:pt idx="18">
                  <c:v>4</c:v>
                </c:pt>
                <c:pt idx="19">
                  <c:v>4</c:v>
                </c:pt>
                <c:pt idx="20">
                  <c:v>4</c:v>
                </c:pt>
                <c:pt idx="21">
                  <c:v>3</c:v>
                </c:pt>
                <c:pt idx="22">
                  <c:v>3</c:v>
                </c:pt>
                <c:pt idx="23">
                  <c:v>3</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3</c:v>
                </c:pt>
                <c:pt idx="39">
                  <c:v>3</c:v>
                </c:pt>
                <c:pt idx="40">
                  <c:v>3</c:v>
                </c:pt>
                <c:pt idx="41">
                  <c:v>3</c:v>
                </c:pt>
                <c:pt idx="42">
                  <c:v>3</c:v>
                </c:pt>
                <c:pt idx="43">
                  <c:v>3</c:v>
                </c:pt>
                <c:pt idx="44">
                  <c:v>2</c:v>
                </c:pt>
                <c:pt idx="45">
                  <c:v>2</c:v>
                </c:pt>
                <c:pt idx="46">
                  <c:v>2</c:v>
                </c:pt>
                <c:pt idx="47">
                  <c:v>2</c:v>
                </c:pt>
                <c:pt idx="48">
                  <c:v>1</c:v>
                </c:pt>
                <c:pt idx="49">
                  <c:v>2</c:v>
                </c:pt>
                <c:pt idx="50">
                  <c:v>2</c:v>
                </c:pt>
                <c:pt idx="51">
                  <c:v>4</c:v>
                </c:pt>
                <c:pt idx="52">
                  <c:v>4</c:v>
                </c:pt>
                <c:pt idx="53">
                  <c:v>4</c:v>
                </c:pt>
                <c:pt idx="54">
                  <c:v>4</c:v>
                </c:pt>
                <c:pt idx="55">
                  <c:v>4</c:v>
                </c:pt>
                <c:pt idx="56">
                  <c:v>4</c:v>
                </c:pt>
                <c:pt idx="57">
                  <c:v>4</c:v>
                </c:pt>
                <c:pt idx="58">
                  <c:v>4</c:v>
                </c:pt>
                <c:pt idx="59">
                  <c:v>4</c:v>
                </c:pt>
                <c:pt idx="60">
                  <c:v>4</c:v>
                </c:pt>
                <c:pt idx="61">
                  <c:v>4</c:v>
                </c:pt>
                <c:pt idx="62">
                  <c:v>4</c:v>
                </c:pt>
                <c:pt idx="63">
                  <c:v>3</c:v>
                </c:pt>
                <c:pt idx="64">
                  <c:v>3</c:v>
                </c:pt>
                <c:pt idx="65">
                  <c:v>3</c:v>
                </c:pt>
                <c:pt idx="66">
                  <c:v>3</c:v>
                </c:pt>
                <c:pt idx="67">
                  <c:v>3</c:v>
                </c:pt>
                <c:pt idx="68">
                  <c:v>3</c:v>
                </c:pt>
                <c:pt idx="69">
                  <c:v>3</c:v>
                </c:pt>
                <c:pt idx="70">
                  <c:v>3</c:v>
                </c:pt>
                <c:pt idx="71">
                  <c:v>3</c:v>
                </c:pt>
                <c:pt idx="72">
                  <c:v>4</c:v>
                </c:pt>
                <c:pt idx="73">
                  <c:v>4</c:v>
                </c:pt>
                <c:pt idx="74">
                  <c:v>4</c:v>
                </c:pt>
                <c:pt idx="75">
                  <c:v>4</c:v>
                </c:pt>
                <c:pt idx="76">
                  <c:v>4</c:v>
                </c:pt>
                <c:pt idx="77">
                  <c:v>4</c:v>
                </c:pt>
                <c:pt idx="78">
                  <c:v>4</c:v>
                </c:pt>
                <c:pt idx="79">
                  <c:v>4</c:v>
                </c:pt>
                <c:pt idx="80">
                  <c:v>4</c:v>
                </c:pt>
                <c:pt idx="81">
                  <c:v>4</c:v>
                </c:pt>
                <c:pt idx="82">
                  <c:v>2</c:v>
                </c:pt>
                <c:pt idx="83">
                  <c:v>2</c:v>
                </c:pt>
                <c:pt idx="84">
                  <c:v>2</c:v>
                </c:pt>
                <c:pt idx="85">
                  <c:v>2</c:v>
                </c:pt>
                <c:pt idx="86">
                  <c:v>2</c:v>
                </c:pt>
                <c:pt idx="87">
                  <c:v>2</c:v>
                </c:pt>
                <c:pt idx="88">
                  <c:v>2</c:v>
                </c:pt>
                <c:pt idx="89">
                  <c:v>2</c:v>
                </c:pt>
                <c:pt idx="90">
                  <c:v>2</c:v>
                </c:pt>
                <c:pt idx="91">
                  <c:v>2</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numCache>
            </c:numRef>
          </c:val>
          <c:smooth val="0"/>
          <c:extLst>
            <c:ext xmlns:c16="http://schemas.microsoft.com/office/drawing/2014/chart" uri="{C3380CC4-5D6E-409C-BE32-E72D297353CC}">
              <c16:uniqueId val="{00000001-7038-4C5E-981C-2C7F20F30733}"/>
            </c:ext>
          </c:extLst>
        </c:ser>
        <c:dLbls>
          <c:showLegendKey val="0"/>
          <c:showVal val="0"/>
          <c:showCatName val="0"/>
          <c:showSerName val="0"/>
          <c:showPercent val="0"/>
          <c:showBubbleSize val="0"/>
        </c:dLbls>
        <c:smooth val="0"/>
        <c:axId val="1954975855"/>
        <c:axId val="1954982927"/>
      </c:lineChart>
      <c:dateAx>
        <c:axId val="1954975855"/>
        <c:scaling>
          <c:orientation val="minMax"/>
        </c:scaling>
        <c:delete val="0"/>
        <c:axPos val="b"/>
        <c:numFmt formatCode="mm/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982927"/>
        <c:crosses val="autoZero"/>
        <c:auto val="1"/>
        <c:lblOffset val="100"/>
        <c:baseTimeUnit val="days"/>
      </c:dateAx>
      <c:valAx>
        <c:axId val="1954982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975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1C28AB36-66B3-4C21-A4AB-EDDC8A4E4DF3}">
    <t:Anchor>
      <t:Comment id="568542961"/>
    </t:Anchor>
    <t:History>
      <t:Event id="{A04B7A8A-DA45-456C-89A4-AF783E6E62E6}" time="2022-10-06T14:57:58.535Z">
        <t:Attribution userId="S::mmoss@buckscc.gov.uk::6ce5e599-62ea-42e6-9919-53817aa4289c" userProvider="AD" userName="Matilda Moss"/>
        <t:Anchor>
          <t:Comment id="568542961"/>
        </t:Anchor>
        <t:Create/>
      </t:Event>
      <t:Event id="{B3FFED77-9F39-46F6-841B-E243C384AB7C}" time="2022-10-06T14:57:58.535Z">
        <t:Attribution userId="S::mmoss@buckscc.gov.uk::6ce5e599-62ea-42e6-9919-53817aa4289c" userProvider="AD" userName="Matilda Moss"/>
        <t:Anchor>
          <t:Comment id="568542961"/>
        </t:Anchor>
        <t:Assign userId="S::ewilding@buckscc.gov.uk::b7629d09-13ed-4f5c-9459-444bb86e90e2" userProvider="AD" userName="Emma Wilding"/>
      </t:Event>
      <t:Event id="{D7A59422-1751-477E-B0AA-1B4520BA1603}" time="2022-10-06T14:57:58.535Z">
        <t:Attribution userId="S::mmoss@buckscc.gov.uk::6ce5e599-62ea-42e6-9919-53817aa4289c" userProvider="AD" userName="Matilda Moss"/>
        <t:Anchor>
          <t:Comment id="568542961"/>
        </t:Anchor>
        <t:SetTitle title="We do need to either date or update and date. @Emma Wilding do you recognise when these figures are fro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D650691491F46B76BBC415F9DF526" ma:contentTypeVersion="17" ma:contentTypeDescription="Create a new document." ma:contentTypeScope="" ma:versionID="7ff60cc1ed8de5eb040918e5fc909346">
  <xsd:schema xmlns:xsd="http://www.w3.org/2001/XMLSchema" xmlns:xs="http://www.w3.org/2001/XMLSchema" xmlns:p="http://schemas.microsoft.com/office/2006/metadata/properties" xmlns:ns2="f4470774-030c-4e9a-950f-188879af5684" xmlns:ns3="fb35ffdb-3fb2-42b9-a6e0-9af898eb59b5" targetNamespace="http://schemas.microsoft.com/office/2006/metadata/properties" ma:root="true" ma:fieldsID="43dfc8e02e9975e607a06a43ec3abc51" ns2:_="" ns3:_="">
    <xsd:import namespace="f4470774-030c-4e9a-950f-188879af5684"/>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0774-030c-4e9a-950f-188879af5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470774-030c-4e9a-950f-188879af5684">
      <Terms xmlns="http://schemas.microsoft.com/office/infopath/2007/PartnerControls"/>
    </lcf76f155ced4ddcb4097134ff3c332f>
    <TaxCatchAll xmlns="fb35ffdb-3fb2-42b9-a6e0-9af898eb59b5" xsi:nil="true"/>
    <SharedWithUsers xmlns="fb35ffdb-3fb2-42b9-a6e0-9af898eb59b5">
      <UserInfo>
        <DisplayName>Matilda Moss</DisplayName>
        <AccountId>66</AccountId>
        <AccountType/>
      </UserInfo>
      <UserInfo>
        <DisplayName>Sarah Burke</DisplayName>
        <AccountId>285</AccountId>
        <AccountType/>
      </UserInfo>
      <UserInfo>
        <DisplayName>Clare Capjon</DisplayName>
        <AccountId>20</AccountId>
        <AccountType/>
      </UserInfo>
      <UserInfo>
        <DisplayName>Colette Kavanagh</DisplayName>
        <AccountId>891</AccountId>
        <AccountType/>
      </UserInfo>
      <UserInfo>
        <DisplayName>Sara Turnbull</DisplayName>
        <AccountId>1839</AccountId>
        <AccountType/>
      </UserInfo>
      <UserInfo>
        <DisplayName>Emma Wilding</DisplayName>
        <AccountId>72</AccountId>
        <AccountType/>
      </UserInfo>
      <UserInfo>
        <DisplayName>Tracey Ironmonger</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2987-F182-4D77-8077-6F954145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0774-030c-4e9a-950f-188879af5684"/>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413EF-566C-4A3E-BD43-1781F05704FA}">
  <ds:schemaRefs>
    <ds:schemaRef ds:uri="http://www.w3.org/XML/1998/namespace"/>
    <ds:schemaRef ds:uri="fb35ffdb-3fb2-42b9-a6e0-9af898eb59b5"/>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4470774-030c-4e9a-950f-188879af568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B4C8DD7-1F9D-4EE2-B152-F0814683EF09}">
  <ds:schemaRefs>
    <ds:schemaRef ds:uri="http://schemas.microsoft.com/sharepoint/v3/contenttype/forms"/>
  </ds:schemaRefs>
</ds:datastoreItem>
</file>

<file path=customXml/itemProps4.xml><?xml version="1.0" encoding="utf-8"?>
<ds:datastoreItem xmlns:ds="http://schemas.openxmlformats.org/officeDocument/2006/customXml" ds:itemID="{9A3F4E35-2618-40E4-8CCA-47DFFCDD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5206</Words>
  <Characters>29675</Characters>
  <Application>Microsoft Office Word</Application>
  <DocSecurity>0</DocSecurity>
  <Lines>247</Lines>
  <Paragraphs>69</Paragraphs>
  <ScaleCrop>false</ScaleCrop>
  <Company/>
  <LinksUpToDate>false</LinksUpToDate>
  <CharactersWithSpaces>34812</CharactersWithSpaces>
  <SharedDoc>false</SharedDoc>
  <HLinks>
    <vt:vector size="18" baseType="variant">
      <vt:variant>
        <vt:i4>5308419</vt:i4>
      </vt:variant>
      <vt:variant>
        <vt:i4>6</vt:i4>
      </vt:variant>
      <vt:variant>
        <vt:i4>0</vt:i4>
      </vt:variant>
      <vt:variant>
        <vt:i4>5</vt:i4>
      </vt:variant>
      <vt:variant>
        <vt:lpwstr>https://www.gov.uk/government/statistics/adult-social-care-workforce-survey-december-2021</vt:lpwstr>
      </vt:variant>
      <vt:variant>
        <vt:lpwstr/>
      </vt:variant>
      <vt:variant>
        <vt:i4>5963778</vt:i4>
      </vt:variant>
      <vt:variant>
        <vt:i4>3</vt:i4>
      </vt:variant>
      <vt:variant>
        <vt:i4>0</vt:i4>
      </vt:variant>
      <vt:variant>
        <vt:i4>5</vt:i4>
      </vt:variant>
      <vt:variant>
        <vt:lpwstr>https://www.skillsforcare.org.uk/news-and-events/news/vacancies-in-social-care-increase-by-52-to-their-highest-rates-and-the-workforce-shrinks-for-the-first-time</vt:lpwstr>
      </vt:variant>
      <vt:variant>
        <vt:lpwstr/>
      </vt:variant>
      <vt:variant>
        <vt:i4>4456457</vt:i4>
      </vt:variant>
      <vt:variant>
        <vt:i4>0</vt:i4>
      </vt:variant>
      <vt:variant>
        <vt:i4>0</vt:i4>
      </vt:variant>
      <vt:variant>
        <vt:i4>5</vt:i4>
      </vt:variant>
      <vt:variant>
        <vt:lpwstr>https://careadvice.buckinghamshire.gov.uk/information-and-advice/asc-policies/what-is-better-lives/</vt:lpwstr>
      </vt:variant>
      <vt:variant>
        <vt:lpwstr>:~:text=A%20strategy%20for%20the%20future%20of%20adult%20social,when%20needed%20to%20help%20people%20regain%20their%20independence.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Alyss</dc:creator>
  <cp:keywords/>
  <dc:description/>
  <cp:lastModifiedBy>Tracey Ironmonger</cp:lastModifiedBy>
  <cp:revision>2</cp:revision>
  <dcterms:created xsi:type="dcterms:W3CDTF">2023-03-24T18:49:00Z</dcterms:created>
  <dcterms:modified xsi:type="dcterms:W3CDTF">2023-03-24T18:49:00Z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0x010100846D650691491F46B76BBC415F9DF526</vt:lpwstr>
  </property>
  <property fmtid="{D5CDD505-2E9C-101B-9397-08002B2CF9AE}" pid="3" name="MediaServiceImageTags">
    <vt:lpwstr/>
  </property>
</Properties>
</file>